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D3465" w:rsidRPr="009D4577" w:rsidRDefault="008D3465" w:rsidP="001019DA">
      <w:pPr>
        <w:ind w:left="-426"/>
        <w:jc w:val="both"/>
        <w:rPr>
          <w:rFonts w:ascii="Arial" w:hAnsi="Arial" w:cs="Arial"/>
          <w:b/>
          <w:sz w:val="40"/>
          <w:szCs w:val="32"/>
          <w:lang w:val="en-AU"/>
        </w:rPr>
      </w:pPr>
    </w:p>
    <w:p w14:paraId="0A37501D" w14:textId="77777777" w:rsidR="008D3465" w:rsidRDefault="008D3465" w:rsidP="001019DA">
      <w:pPr>
        <w:ind w:left="-426"/>
        <w:jc w:val="both"/>
        <w:rPr>
          <w:rFonts w:ascii="Arial" w:hAnsi="Arial" w:cs="Arial"/>
          <w:b/>
          <w:sz w:val="40"/>
          <w:szCs w:val="32"/>
        </w:rPr>
      </w:pPr>
    </w:p>
    <w:p w14:paraId="5DAB6C7B" w14:textId="77777777" w:rsidR="008D3465" w:rsidRDefault="008D3465" w:rsidP="001019DA">
      <w:pPr>
        <w:ind w:left="-426"/>
        <w:jc w:val="both"/>
        <w:rPr>
          <w:rFonts w:ascii="Arial" w:hAnsi="Arial" w:cs="Arial"/>
          <w:b/>
          <w:sz w:val="40"/>
          <w:szCs w:val="32"/>
        </w:rPr>
      </w:pPr>
    </w:p>
    <w:p w14:paraId="02EB378F" w14:textId="77777777" w:rsidR="008D3465" w:rsidRDefault="008D3465" w:rsidP="001019DA">
      <w:pPr>
        <w:ind w:left="-426"/>
        <w:jc w:val="both"/>
        <w:rPr>
          <w:rFonts w:ascii="Arial" w:hAnsi="Arial" w:cs="Arial"/>
          <w:b/>
          <w:sz w:val="40"/>
          <w:szCs w:val="32"/>
        </w:rPr>
      </w:pPr>
    </w:p>
    <w:p w14:paraId="6A05A809" w14:textId="77777777" w:rsidR="008D3465" w:rsidRDefault="008D3465" w:rsidP="001019DA">
      <w:pPr>
        <w:ind w:left="-426"/>
        <w:jc w:val="both"/>
        <w:rPr>
          <w:rFonts w:ascii="Arial" w:hAnsi="Arial" w:cs="Arial"/>
          <w:b/>
          <w:sz w:val="40"/>
          <w:szCs w:val="32"/>
        </w:rPr>
      </w:pPr>
    </w:p>
    <w:p w14:paraId="5A39BBE3" w14:textId="77777777" w:rsidR="008D3465" w:rsidRDefault="008D3465" w:rsidP="001019DA">
      <w:pPr>
        <w:ind w:left="-426"/>
        <w:jc w:val="both"/>
        <w:rPr>
          <w:rFonts w:ascii="Nexa Bold" w:eastAsiaTheme="majorEastAsia" w:hAnsi="Nexa Bold" w:cstheme="majorBidi"/>
          <w:color w:val="2F5496" w:themeColor="accent1" w:themeShade="BF"/>
          <w:sz w:val="48"/>
          <w:szCs w:val="48"/>
          <w:lang w:eastAsia="en-AU"/>
        </w:rPr>
      </w:pPr>
    </w:p>
    <w:p w14:paraId="41C8F396" w14:textId="77777777" w:rsidR="008D3465" w:rsidRDefault="008D3465" w:rsidP="001019DA">
      <w:pPr>
        <w:ind w:left="-426"/>
        <w:jc w:val="both"/>
        <w:rPr>
          <w:rFonts w:ascii="Nexa Bold" w:eastAsiaTheme="majorEastAsia" w:hAnsi="Nexa Bold" w:cstheme="majorBidi"/>
          <w:color w:val="2F5496" w:themeColor="accent1" w:themeShade="BF"/>
          <w:sz w:val="48"/>
          <w:szCs w:val="48"/>
          <w:lang w:eastAsia="en-AU"/>
        </w:rPr>
      </w:pPr>
    </w:p>
    <w:p w14:paraId="72A3D3EC" w14:textId="599F8C35" w:rsidR="008D3465" w:rsidRDefault="00D53F88" w:rsidP="001019DA">
      <w:pPr>
        <w:ind w:left="-426"/>
        <w:jc w:val="both"/>
        <w:rPr>
          <w:rFonts w:ascii="Nexa Bold" w:eastAsiaTheme="majorEastAsia" w:hAnsi="Nexa Bold" w:cstheme="majorBidi"/>
          <w:color w:val="2F5496" w:themeColor="accent1" w:themeShade="BF"/>
          <w:sz w:val="48"/>
          <w:szCs w:val="48"/>
          <w:lang w:eastAsia="en-AU"/>
        </w:rPr>
      </w:pPr>
      <w:r w:rsidRPr="006D3133">
        <w:rPr>
          <w:rFonts w:ascii="Nexa Bold" w:eastAsiaTheme="majorEastAsia" w:hAnsi="Nexa Bold" w:cstheme="majorBidi"/>
          <w:noProof/>
          <w:color w:val="2F5496" w:themeColor="accent1" w:themeShade="BF"/>
          <w:sz w:val="48"/>
          <w:szCs w:val="48"/>
          <w:lang w:val="en-AU" w:eastAsia="en-AU"/>
        </w:rPr>
        <w:drawing>
          <wp:anchor distT="0" distB="0" distL="114300" distR="114300" simplePos="0" relativeHeight="251658240" behindDoc="0" locked="0" layoutInCell="1" allowOverlap="1" wp14:anchorId="45B02D01" wp14:editId="7F3E114E">
            <wp:simplePos x="0" y="0"/>
            <wp:positionH relativeFrom="column">
              <wp:posOffset>602615</wp:posOffset>
            </wp:positionH>
            <wp:positionV relativeFrom="paragraph">
              <wp:posOffset>36019</wp:posOffset>
            </wp:positionV>
            <wp:extent cx="4926965" cy="168148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1"/>
                    <a:stretch>
                      <a:fillRect/>
                    </a:stretch>
                  </pic:blipFill>
                  <pic:spPr bwMode="auto">
                    <a:xfrm>
                      <a:off x="0" y="0"/>
                      <a:ext cx="4926965" cy="1681480"/>
                    </a:xfrm>
                    <a:prstGeom prst="rect">
                      <a:avLst/>
                    </a:prstGeom>
                    <a:noFill/>
                  </pic:spPr>
                </pic:pic>
              </a:graphicData>
            </a:graphic>
            <wp14:sizeRelH relativeFrom="page">
              <wp14:pctWidth>0</wp14:pctWidth>
            </wp14:sizeRelH>
            <wp14:sizeRelV relativeFrom="page">
              <wp14:pctHeight>0</wp14:pctHeight>
            </wp14:sizeRelV>
          </wp:anchor>
        </w:drawing>
      </w:r>
    </w:p>
    <w:p w14:paraId="0D0B940D" w14:textId="0C37F430" w:rsidR="008D3465" w:rsidRPr="006D3133" w:rsidRDefault="008D3465" w:rsidP="001019DA">
      <w:pPr>
        <w:ind w:left="567"/>
        <w:jc w:val="both"/>
        <w:rPr>
          <w:rFonts w:ascii="Nexa Bold" w:eastAsiaTheme="majorEastAsia" w:hAnsi="Nexa Bold" w:cstheme="majorBidi"/>
          <w:color w:val="2F5496" w:themeColor="accent1" w:themeShade="BF"/>
          <w:sz w:val="48"/>
          <w:szCs w:val="48"/>
          <w:lang w:eastAsia="en-AU"/>
        </w:rPr>
      </w:pPr>
    </w:p>
    <w:p w14:paraId="0E27B00A" w14:textId="77777777" w:rsidR="008D3465" w:rsidRPr="006D3133" w:rsidRDefault="008D3465" w:rsidP="001019DA">
      <w:pPr>
        <w:jc w:val="both"/>
        <w:rPr>
          <w:rFonts w:ascii="Nexa Bold" w:eastAsiaTheme="majorEastAsia" w:hAnsi="Nexa Bold" w:cstheme="majorBidi"/>
          <w:color w:val="2F5496" w:themeColor="accent1" w:themeShade="BF"/>
          <w:sz w:val="48"/>
          <w:szCs w:val="48"/>
          <w:lang w:eastAsia="en-AU"/>
        </w:rPr>
      </w:pPr>
    </w:p>
    <w:p w14:paraId="60061E4C" w14:textId="77777777" w:rsidR="00430E07" w:rsidRDefault="00430E07" w:rsidP="001019DA">
      <w:pPr>
        <w:jc w:val="both"/>
      </w:pPr>
      <w:bookmarkStart w:id="0" w:name="_Toc483491572"/>
      <w:bookmarkStart w:id="1" w:name="_Toc489627939"/>
    </w:p>
    <w:p w14:paraId="44EAFD9C" w14:textId="77777777" w:rsidR="00430E07" w:rsidRDefault="00430E07" w:rsidP="001019DA">
      <w:pPr>
        <w:jc w:val="both"/>
      </w:pPr>
    </w:p>
    <w:p w14:paraId="4B94D5A5" w14:textId="77777777" w:rsidR="00430E07" w:rsidRDefault="00430E07" w:rsidP="001019DA">
      <w:pPr>
        <w:jc w:val="both"/>
      </w:pPr>
    </w:p>
    <w:tbl>
      <w:tblPr>
        <w:tblpPr w:leftFromText="180" w:rightFromText="180" w:vertAnchor="page" w:horzAnchor="margin" w:tblpXSpec="center" w:tblpY="8746"/>
        <w:tblW w:w="10231" w:type="dxa"/>
        <w:tblLayout w:type="fixed"/>
        <w:tblLook w:val="04A0" w:firstRow="1" w:lastRow="0" w:firstColumn="1" w:lastColumn="0" w:noHBand="0" w:noVBand="1"/>
      </w:tblPr>
      <w:tblGrid>
        <w:gridCol w:w="1910"/>
        <w:gridCol w:w="1346"/>
        <w:gridCol w:w="1701"/>
        <w:gridCol w:w="2409"/>
        <w:gridCol w:w="620"/>
        <w:gridCol w:w="656"/>
        <w:gridCol w:w="1589"/>
      </w:tblGrid>
      <w:tr w:rsidR="006B115A" w:rsidRPr="006827E4" w14:paraId="15FEF2A2" w14:textId="77777777" w:rsidTr="006B115A">
        <w:trPr>
          <w:trHeight w:val="480"/>
        </w:trPr>
        <w:tc>
          <w:tcPr>
            <w:tcW w:w="1910" w:type="dxa"/>
            <w:tcBorders>
              <w:top w:val="single" w:sz="4" w:space="0" w:color="auto"/>
              <w:left w:val="single" w:sz="4" w:space="0" w:color="auto"/>
              <w:bottom w:val="single" w:sz="8" w:space="0" w:color="auto"/>
              <w:right w:val="single" w:sz="4" w:space="0" w:color="auto"/>
            </w:tcBorders>
            <w:shd w:val="clear" w:color="auto" w:fill="0070C0"/>
            <w:vAlign w:val="center"/>
            <w:hideMark/>
          </w:tcPr>
          <w:p w14:paraId="1FE24178" w14:textId="77777777" w:rsidR="006B115A" w:rsidRPr="006827E4" w:rsidRDefault="006B115A" w:rsidP="006B115A">
            <w:pPr>
              <w:ind w:left="284"/>
              <w:jc w:val="both"/>
              <w:rPr>
                <w:rFonts w:eastAsiaTheme="majorEastAsia" w:cstheme="minorHAnsi"/>
                <w:b/>
                <w:bCs/>
                <w:color w:val="FFFFFF" w:themeColor="background1"/>
                <w:sz w:val="22"/>
                <w:szCs w:val="22"/>
                <w:lang w:eastAsia="en-AU"/>
              </w:rPr>
            </w:pPr>
            <w:r w:rsidRPr="006827E4">
              <w:rPr>
                <w:rFonts w:eastAsiaTheme="majorEastAsia" w:cstheme="minorHAnsi"/>
                <w:b/>
                <w:bCs/>
                <w:color w:val="FFFFFF" w:themeColor="background1"/>
                <w:sz w:val="22"/>
                <w:szCs w:val="22"/>
                <w:lang w:eastAsia="en-AU"/>
              </w:rPr>
              <w:t xml:space="preserve">Policy Title </w:t>
            </w:r>
          </w:p>
        </w:tc>
        <w:tc>
          <w:tcPr>
            <w:tcW w:w="8321" w:type="dxa"/>
            <w:gridSpan w:val="6"/>
            <w:tcBorders>
              <w:top w:val="single" w:sz="4" w:space="0" w:color="auto"/>
              <w:left w:val="single" w:sz="4" w:space="0" w:color="auto"/>
              <w:bottom w:val="single" w:sz="8" w:space="0" w:color="auto"/>
              <w:right w:val="single" w:sz="4" w:space="0" w:color="auto"/>
            </w:tcBorders>
            <w:vAlign w:val="center"/>
          </w:tcPr>
          <w:p w14:paraId="45F653F0" w14:textId="77777777" w:rsidR="006B115A" w:rsidRPr="006827E4" w:rsidRDefault="006B115A" w:rsidP="006B115A">
            <w:pPr>
              <w:jc w:val="both"/>
              <w:rPr>
                <w:rFonts w:eastAsiaTheme="majorEastAsia"/>
                <w:b/>
                <w:bCs/>
                <w:color w:val="2F5496" w:themeColor="accent1" w:themeShade="BF"/>
                <w:sz w:val="22"/>
                <w:szCs w:val="22"/>
                <w:lang w:eastAsia="en-AU"/>
              </w:rPr>
            </w:pPr>
            <w:r>
              <w:rPr>
                <w:rFonts w:eastAsiaTheme="majorEastAsia"/>
                <w:b/>
                <w:bCs/>
                <w:color w:val="2F5496" w:themeColor="accent1" w:themeShade="BF"/>
                <w:sz w:val="22"/>
                <w:szCs w:val="22"/>
                <w:lang w:eastAsia="en-AU"/>
              </w:rPr>
              <w:t>EEA Professional Year Program Implementation and Delivery</w:t>
            </w:r>
            <w:r w:rsidRPr="122622FD">
              <w:rPr>
                <w:rFonts w:eastAsiaTheme="majorEastAsia"/>
                <w:b/>
                <w:bCs/>
                <w:color w:val="2F5496" w:themeColor="accent1" w:themeShade="BF"/>
                <w:sz w:val="22"/>
                <w:szCs w:val="22"/>
                <w:lang w:eastAsia="en-AU"/>
              </w:rPr>
              <w:t xml:space="preserve"> Policy and Procedure</w:t>
            </w:r>
          </w:p>
        </w:tc>
      </w:tr>
      <w:tr w:rsidR="006B115A" w:rsidRPr="006827E4" w14:paraId="631FC3C1" w14:textId="77777777" w:rsidTr="006B115A">
        <w:trPr>
          <w:trHeight w:val="480"/>
        </w:trPr>
        <w:tc>
          <w:tcPr>
            <w:tcW w:w="1910" w:type="dxa"/>
            <w:tcBorders>
              <w:top w:val="single" w:sz="4" w:space="0" w:color="auto"/>
              <w:left w:val="single" w:sz="4" w:space="0" w:color="auto"/>
              <w:bottom w:val="single" w:sz="8" w:space="0" w:color="auto"/>
              <w:right w:val="single" w:sz="4" w:space="0" w:color="auto"/>
            </w:tcBorders>
            <w:shd w:val="clear" w:color="auto" w:fill="0070C0"/>
            <w:vAlign w:val="center"/>
          </w:tcPr>
          <w:p w14:paraId="70AEFF86" w14:textId="77777777" w:rsidR="006B115A" w:rsidRPr="006827E4" w:rsidRDefault="006B115A" w:rsidP="006B115A">
            <w:pPr>
              <w:ind w:left="284"/>
              <w:jc w:val="both"/>
              <w:rPr>
                <w:rFonts w:eastAsiaTheme="majorEastAsia" w:cstheme="minorHAnsi"/>
                <w:b/>
                <w:color w:val="FFFFFF" w:themeColor="background1"/>
                <w:sz w:val="22"/>
                <w:szCs w:val="22"/>
                <w:lang w:eastAsia="en-AU"/>
              </w:rPr>
            </w:pPr>
            <w:r w:rsidRPr="006827E4">
              <w:rPr>
                <w:rFonts w:eastAsiaTheme="majorEastAsia" w:cstheme="minorHAnsi"/>
                <w:b/>
                <w:color w:val="FFFFFF" w:themeColor="background1"/>
                <w:sz w:val="22"/>
                <w:szCs w:val="22"/>
                <w:lang w:eastAsia="en-AU"/>
              </w:rPr>
              <w:t>Policy Number</w:t>
            </w:r>
          </w:p>
        </w:tc>
        <w:tc>
          <w:tcPr>
            <w:tcW w:w="1346" w:type="dxa"/>
            <w:tcBorders>
              <w:top w:val="single" w:sz="4" w:space="0" w:color="auto"/>
              <w:left w:val="single" w:sz="4" w:space="0" w:color="auto"/>
              <w:bottom w:val="single" w:sz="8" w:space="0" w:color="auto"/>
              <w:right w:val="single" w:sz="4" w:space="0" w:color="auto"/>
            </w:tcBorders>
            <w:vAlign w:val="center"/>
          </w:tcPr>
          <w:p w14:paraId="048DAD3F" w14:textId="77777777" w:rsidR="006B115A" w:rsidRPr="006827E4" w:rsidRDefault="006B115A" w:rsidP="006B115A">
            <w:pPr>
              <w:ind w:left="284"/>
              <w:jc w:val="both"/>
              <w:rPr>
                <w:rFonts w:eastAsiaTheme="majorEastAsia"/>
                <w:b/>
                <w:bCs/>
                <w:color w:val="2F5496" w:themeColor="accent1" w:themeShade="BF"/>
                <w:sz w:val="22"/>
                <w:szCs w:val="22"/>
                <w:lang w:eastAsia="en-AU"/>
              </w:rPr>
            </w:pPr>
            <w:r w:rsidRPr="122622FD">
              <w:rPr>
                <w:rFonts w:eastAsiaTheme="majorEastAsia"/>
                <w:b/>
                <w:bCs/>
                <w:color w:val="2F5496" w:themeColor="accent1" w:themeShade="BF"/>
                <w:sz w:val="22"/>
                <w:szCs w:val="22"/>
                <w:lang w:eastAsia="en-AU"/>
              </w:rPr>
              <w:t xml:space="preserve">PP - </w:t>
            </w:r>
            <w:r>
              <w:rPr>
                <w:rFonts w:eastAsiaTheme="majorEastAsia"/>
                <w:b/>
                <w:bCs/>
                <w:color w:val="2F5496" w:themeColor="accent1" w:themeShade="BF"/>
                <w:sz w:val="22"/>
                <w:szCs w:val="22"/>
                <w:lang w:eastAsia="en-AU"/>
              </w:rPr>
              <w:t>35</w:t>
            </w:r>
          </w:p>
        </w:tc>
        <w:tc>
          <w:tcPr>
            <w:tcW w:w="1701" w:type="dxa"/>
            <w:tcBorders>
              <w:top w:val="single" w:sz="4" w:space="0" w:color="auto"/>
              <w:left w:val="single" w:sz="4" w:space="0" w:color="auto"/>
              <w:bottom w:val="single" w:sz="8" w:space="0" w:color="auto"/>
              <w:right w:val="single" w:sz="4" w:space="0" w:color="auto"/>
            </w:tcBorders>
            <w:shd w:val="clear" w:color="auto" w:fill="0070C0"/>
            <w:vAlign w:val="center"/>
          </w:tcPr>
          <w:p w14:paraId="4A3BFD36" w14:textId="77777777" w:rsidR="006B115A" w:rsidRPr="006827E4" w:rsidRDefault="006B115A" w:rsidP="006B115A">
            <w:pPr>
              <w:ind w:left="284"/>
              <w:jc w:val="both"/>
              <w:rPr>
                <w:rFonts w:eastAsiaTheme="majorEastAsia" w:cstheme="minorHAnsi"/>
                <w:b/>
                <w:color w:val="2F5496" w:themeColor="accent1" w:themeShade="BF"/>
                <w:sz w:val="22"/>
                <w:szCs w:val="22"/>
                <w:lang w:eastAsia="en-AU"/>
              </w:rPr>
            </w:pPr>
            <w:r w:rsidRPr="006827E4">
              <w:rPr>
                <w:rFonts w:eastAsiaTheme="majorEastAsia" w:cstheme="minorHAnsi"/>
                <w:b/>
                <w:bCs/>
                <w:color w:val="FFFFFF" w:themeColor="background1"/>
                <w:sz w:val="22"/>
                <w:szCs w:val="22"/>
                <w:lang w:eastAsia="en-AU"/>
              </w:rPr>
              <w:t>Version Number</w:t>
            </w:r>
          </w:p>
        </w:tc>
        <w:tc>
          <w:tcPr>
            <w:tcW w:w="2409" w:type="dxa"/>
            <w:tcBorders>
              <w:top w:val="single" w:sz="4" w:space="0" w:color="auto"/>
              <w:left w:val="single" w:sz="4" w:space="0" w:color="auto"/>
              <w:bottom w:val="single" w:sz="8" w:space="0" w:color="auto"/>
              <w:right w:val="single" w:sz="4" w:space="0" w:color="auto"/>
            </w:tcBorders>
            <w:vAlign w:val="center"/>
          </w:tcPr>
          <w:p w14:paraId="7A6DEAB6" w14:textId="77777777" w:rsidR="006B115A" w:rsidRPr="006827E4" w:rsidRDefault="006B115A" w:rsidP="006B115A">
            <w:pPr>
              <w:ind w:left="284"/>
              <w:jc w:val="both"/>
              <w:rPr>
                <w:rFonts w:eastAsiaTheme="majorEastAsia"/>
                <w:b/>
                <w:bCs/>
                <w:color w:val="2F5496" w:themeColor="accent1" w:themeShade="BF"/>
                <w:sz w:val="22"/>
                <w:szCs w:val="22"/>
                <w:lang w:eastAsia="en-AU"/>
              </w:rPr>
            </w:pPr>
            <w:r w:rsidRPr="122622FD">
              <w:rPr>
                <w:rFonts w:eastAsiaTheme="majorEastAsia"/>
                <w:b/>
                <w:bCs/>
                <w:color w:val="2F5496" w:themeColor="accent1" w:themeShade="BF"/>
                <w:sz w:val="22"/>
                <w:szCs w:val="22"/>
                <w:lang w:eastAsia="en-AU"/>
              </w:rPr>
              <w:t>V</w:t>
            </w:r>
            <w:r>
              <w:rPr>
                <w:rFonts w:eastAsiaTheme="majorEastAsia"/>
                <w:b/>
                <w:bCs/>
                <w:color w:val="2F5496" w:themeColor="accent1" w:themeShade="BF"/>
                <w:sz w:val="22"/>
                <w:szCs w:val="22"/>
                <w:lang w:eastAsia="en-AU"/>
              </w:rPr>
              <w:t>2.1</w:t>
            </w:r>
            <w:r w:rsidRPr="122622FD">
              <w:rPr>
                <w:rFonts w:eastAsiaTheme="majorEastAsia"/>
                <w:b/>
                <w:bCs/>
                <w:color w:val="2F5496" w:themeColor="accent1" w:themeShade="BF"/>
                <w:sz w:val="22"/>
                <w:szCs w:val="22"/>
                <w:lang w:eastAsia="en-AU"/>
              </w:rPr>
              <w:t xml:space="preserve"> </w:t>
            </w:r>
            <w:r>
              <w:rPr>
                <w:rFonts w:eastAsiaTheme="majorEastAsia"/>
                <w:b/>
                <w:bCs/>
                <w:color w:val="2F5496" w:themeColor="accent1" w:themeShade="BF"/>
                <w:sz w:val="22"/>
                <w:szCs w:val="22"/>
                <w:lang w:eastAsia="en-AU"/>
              </w:rPr>
              <w:t>September 2025</w:t>
            </w:r>
          </w:p>
        </w:tc>
        <w:tc>
          <w:tcPr>
            <w:tcW w:w="1276" w:type="dxa"/>
            <w:gridSpan w:val="2"/>
            <w:tcBorders>
              <w:top w:val="single" w:sz="4" w:space="0" w:color="auto"/>
              <w:left w:val="single" w:sz="4" w:space="0" w:color="auto"/>
              <w:bottom w:val="single" w:sz="8" w:space="0" w:color="auto"/>
              <w:right w:val="single" w:sz="4" w:space="0" w:color="auto"/>
            </w:tcBorders>
            <w:shd w:val="clear" w:color="auto" w:fill="0070C0"/>
            <w:vAlign w:val="center"/>
          </w:tcPr>
          <w:p w14:paraId="65D2501C" w14:textId="77777777" w:rsidR="006B115A" w:rsidRPr="006827E4" w:rsidRDefault="006B115A" w:rsidP="006B115A">
            <w:pPr>
              <w:ind w:left="284"/>
              <w:jc w:val="both"/>
              <w:rPr>
                <w:rFonts w:eastAsiaTheme="majorEastAsia" w:cstheme="minorHAnsi"/>
                <w:b/>
                <w:color w:val="FFFFFF" w:themeColor="background1"/>
                <w:sz w:val="22"/>
                <w:szCs w:val="22"/>
                <w:lang w:eastAsia="en-AU"/>
              </w:rPr>
            </w:pPr>
            <w:r w:rsidRPr="006827E4">
              <w:rPr>
                <w:rFonts w:eastAsiaTheme="majorEastAsia" w:cstheme="minorHAnsi"/>
                <w:b/>
                <w:bCs/>
                <w:color w:val="FFFFFF" w:themeColor="background1"/>
                <w:sz w:val="22"/>
                <w:szCs w:val="22"/>
                <w:lang w:eastAsia="en-AU"/>
              </w:rPr>
              <w:t>Status</w:t>
            </w:r>
          </w:p>
        </w:tc>
        <w:tc>
          <w:tcPr>
            <w:tcW w:w="1589" w:type="dxa"/>
            <w:tcBorders>
              <w:top w:val="single" w:sz="4" w:space="0" w:color="auto"/>
              <w:left w:val="single" w:sz="4" w:space="0" w:color="auto"/>
              <w:bottom w:val="single" w:sz="8" w:space="0" w:color="auto"/>
              <w:right w:val="single" w:sz="4" w:space="0" w:color="auto"/>
            </w:tcBorders>
            <w:vAlign w:val="center"/>
          </w:tcPr>
          <w:p w14:paraId="50583616" w14:textId="77777777" w:rsidR="006B115A" w:rsidRPr="006827E4" w:rsidRDefault="006B115A" w:rsidP="006B115A">
            <w:pPr>
              <w:ind w:left="284"/>
              <w:rPr>
                <w:rFonts w:eastAsiaTheme="majorEastAsia"/>
                <w:b/>
                <w:bCs/>
                <w:color w:val="2F5496" w:themeColor="accent1" w:themeShade="BF"/>
                <w:sz w:val="22"/>
                <w:szCs w:val="22"/>
                <w:lang w:eastAsia="en-AU"/>
              </w:rPr>
            </w:pPr>
            <w:r>
              <w:rPr>
                <w:rFonts w:eastAsiaTheme="majorEastAsia"/>
                <w:b/>
                <w:bCs/>
                <w:color w:val="2F5496" w:themeColor="accent1" w:themeShade="BF"/>
                <w:sz w:val="22"/>
                <w:szCs w:val="22"/>
                <w:lang w:eastAsia="en-AU"/>
              </w:rPr>
              <w:t>Approved</w:t>
            </w:r>
          </w:p>
        </w:tc>
      </w:tr>
      <w:tr w:rsidR="006B115A" w:rsidRPr="006827E4" w14:paraId="5CF74A3C" w14:textId="77777777" w:rsidTr="006B115A">
        <w:trPr>
          <w:trHeight w:val="480"/>
        </w:trPr>
        <w:tc>
          <w:tcPr>
            <w:tcW w:w="1910" w:type="dxa"/>
            <w:tcBorders>
              <w:top w:val="single" w:sz="4" w:space="0" w:color="auto"/>
              <w:left w:val="single" w:sz="4" w:space="0" w:color="auto"/>
              <w:bottom w:val="single" w:sz="8" w:space="0" w:color="auto"/>
              <w:right w:val="single" w:sz="4" w:space="0" w:color="auto"/>
            </w:tcBorders>
            <w:shd w:val="clear" w:color="auto" w:fill="0070C0"/>
            <w:vAlign w:val="center"/>
          </w:tcPr>
          <w:p w14:paraId="54A5B42E" w14:textId="77777777" w:rsidR="006B115A" w:rsidRPr="006827E4" w:rsidRDefault="006B115A" w:rsidP="006B115A">
            <w:pPr>
              <w:ind w:left="284"/>
              <w:jc w:val="both"/>
              <w:rPr>
                <w:rFonts w:eastAsiaTheme="majorEastAsia" w:cstheme="minorHAnsi"/>
                <w:b/>
                <w:color w:val="FFFFFF" w:themeColor="background1"/>
                <w:sz w:val="22"/>
                <w:szCs w:val="22"/>
                <w:lang w:eastAsia="en-AU"/>
              </w:rPr>
            </w:pPr>
            <w:r w:rsidRPr="006827E4">
              <w:rPr>
                <w:rFonts w:eastAsiaTheme="majorEastAsia" w:cstheme="minorHAnsi"/>
                <w:b/>
                <w:color w:val="FFFFFF" w:themeColor="background1"/>
                <w:sz w:val="22"/>
                <w:szCs w:val="22"/>
                <w:lang w:eastAsia="en-AU"/>
              </w:rPr>
              <w:t>Owner</w:t>
            </w:r>
          </w:p>
        </w:tc>
        <w:tc>
          <w:tcPr>
            <w:tcW w:w="3047" w:type="dxa"/>
            <w:gridSpan w:val="2"/>
            <w:tcBorders>
              <w:top w:val="single" w:sz="4" w:space="0" w:color="auto"/>
              <w:left w:val="single" w:sz="4" w:space="0" w:color="auto"/>
              <w:bottom w:val="single" w:sz="8" w:space="0" w:color="auto"/>
              <w:right w:val="single" w:sz="4" w:space="0" w:color="auto"/>
            </w:tcBorders>
            <w:vAlign w:val="center"/>
          </w:tcPr>
          <w:p w14:paraId="73FE2638" w14:textId="77777777" w:rsidR="006B115A" w:rsidRPr="006827E4" w:rsidRDefault="006B115A" w:rsidP="006B115A">
            <w:pPr>
              <w:ind w:left="284"/>
              <w:jc w:val="both"/>
              <w:rPr>
                <w:rFonts w:eastAsiaTheme="majorEastAsia"/>
                <w:b/>
                <w:bCs/>
                <w:color w:val="2F5496" w:themeColor="accent1" w:themeShade="BF"/>
                <w:sz w:val="22"/>
                <w:szCs w:val="22"/>
                <w:lang w:eastAsia="en-AU"/>
              </w:rPr>
            </w:pPr>
            <w:r>
              <w:rPr>
                <w:rFonts w:eastAsiaTheme="majorEastAsia"/>
                <w:b/>
                <w:bCs/>
                <w:color w:val="2F5496" w:themeColor="accent1" w:themeShade="BF"/>
                <w:sz w:val="22"/>
                <w:szCs w:val="22"/>
                <w:lang w:eastAsia="en-AU"/>
              </w:rPr>
              <w:t>Senior Management</w:t>
            </w:r>
          </w:p>
        </w:tc>
        <w:tc>
          <w:tcPr>
            <w:tcW w:w="3029" w:type="dxa"/>
            <w:gridSpan w:val="2"/>
            <w:tcBorders>
              <w:top w:val="single" w:sz="4" w:space="0" w:color="auto"/>
              <w:left w:val="single" w:sz="4" w:space="0" w:color="auto"/>
              <w:bottom w:val="single" w:sz="8" w:space="0" w:color="auto"/>
              <w:right w:val="single" w:sz="4" w:space="0" w:color="auto"/>
            </w:tcBorders>
            <w:shd w:val="clear" w:color="auto" w:fill="0070C0"/>
            <w:vAlign w:val="center"/>
          </w:tcPr>
          <w:p w14:paraId="780D268E" w14:textId="77777777" w:rsidR="006B115A" w:rsidRPr="006827E4" w:rsidRDefault="006B115A" w:rsidP="006B115A">
            <w:pPr>
              <w:ind w:left="284"/>
              <w:jc w:val="both"/>
              <w:rPr>
                <w:rFonts w:eastAsiaTheme="majorEastAsia" w:cstheme="minorHAnsi"/>
                <w:b/>
                <w:color w:val="2F5496" w:themeColor="accent1" w:themeShade="BF"/>
                <w:sz w:val="22"/>
                <w:szCs w:val="22"/>
                <w:lang w:eastAsia="en-AU"/>
              </w:rPr>
            </w:pPr>
            <w:r w:rsidRPr="006827E4">
              <w:rPr>
                <w:rFonts w:eastAsiaTheme="majorEastAsia" w:cstheme="minorHAnsi"/>
                <w:b/>
                <w:color w:val="FFFFFF" w:themeColor="background1"/>
                <w:sz w:val="22"/>
                <w:szCs w:val="22"/>
                <w:lang w:eastAsia="en-AU"/>
              </w:rPr>
              <w:t>Approved By</w:t>
            </w:r>
          </w:p>
        </w:tc>
        <w:tc>
          <w:tcPr>
            <w:tcW w:w="2245" w:type="dxa"/>
            <w:gridSpan w:val="2"/>
            <w:tcBorders>
              <w:top w:val="single" w:sz="4" w:space="0" w:color="auto"/>
              <w:left w:val="single" w:sz="4" w:space="0" w:color="auto"/>
              <w:bottom w:val="single" w:sz="8" w:space="0" w:color="auto"/>
              <w:right w:val="single" w:sz="4" w:space="0" w:color="auto"/>
            </w:tcBorders>
            <w:shd w:val="clear" w:color="auto" w:fill="FFFFFF" w:themeFill="background1"/>
            <w:vAlign w:val="center"/>
          </w:tcPr>
          <w:p w14:paraId="2B8D0B4D" w14:textId="77777777" w:rsidR="006B115A" w:rsidRPr="006827E4" w:rsidRDefault="006B115A" w:rsidP="006B115A">
            <w:pPr>
              <w:ind w:left="284"/>
              <w:jc w:val="both"/>
              <w:rPr>
                <w:rFonts w:eastAsiaTheme="majorEastAsia" w:cstheme="minorHAnsi"/>
                <w:b/>
                <w:color w:val="2F5496" w:themeColor="accent1" w:themeShade="BF"/>
                <w:sz w:val="22"/>
                <w:szCs w:val="22"/>
                <w:lang w:eastAsia="en-AU"/>
              </w:rPr>
            </w:pPr>
            <w:r w:rsidRPr="006827E4">
              <w:rPr>
                <w:rFonts w:eastAsiaTheme="majorEastAsia" w:cstheme="minorHAnsi"/>
                <w:b/>
                <w:color w:val="2F5496" w:themeColor="accent1" w:themeShade="BF"/>
                <w:sz w:val="22"/>
                <w:szCs w:val="22"/>
                <w:lang w:eastAsia="en-AU"/>
              </w:rPr>
              <w:t xml:space="preserve">   CEO</w:t>
            </w:r>
          </w:p>
        </w:tc>
      </w:tr>
    </w:tbl>
    <w:p w14:paraId="3DEEC669" w14:textId="77777777" w:rsidR="00430E07" w:rsidRDefault="00430E07" w:rsidP="001019DA">
      <w:pPr>
        <w:jc w:val="both"/>
      </w:pPr>
    </w:p>
    <w:p w14:paraId="3656B9AB" w14:textId="77777777" w:rsidR="00430E07" w:rsidRDefault="00430E07" w:rsidP="001019DA">
      <w:pPr>
        <w:jc w:val="both"/>
      </w:pPr>
    </w:p>
    <w:p w14:paraId="45FB0818" w14:textId="77777777" w:rsidR="00430E07" w:rsidRDefault="00430E07" w:rsidP="001019DA">
      <w:pPr>
        <w:jc w:val="both"/>
      </w:pPr>
    </w:p>
    <w:p w14:paraId="049F31CB" w14:textId="77777777" w:rsidR="00430E07" w:rsidRDefault="00430E07" w:rsidP="001019DA">
      <w:pPr>
        <w:jc w:val="both"/>
      </w:pPr>
    </w:p>
    <w:p w14:paraId="53128261" w14:textId="77777777" w:rsidR="00430E07" w:rsidRDefault="00430E07" w:rsidP="001019DA">
      <w:pPr>
        <w:jc w:val="both"/>
      </w:pPr>
    </w:p>
    <w:p w14:paraId="62486C05" w14:textId="77777777" w:rsidR="00430E07" w:rsidRDefault="00430E07" w:rsidP="001019DA">
      <w:pPr>
        <w:jc w:val="both"/>
      </w:pPr>
    </w:p>
    <w:p w14:paraId="4101652C" w14:textId="77777777" w:rsidR="00430E07" w:rsidRDefault="00430E07" w:rsidP="001019DA">
      <w:pPr>
        <w:jc w:val="both"/>
      </w:pPr>
    </w:p>
    <w:p w14:paraId="4B99056E" w14:textId="77777777" w:rsidR="00430E07" w:rsidRDefault="00430E07" w:rsidP="001019DA">
      <w:pPr>
        <w:jc w:val="both"/>
      </w:pPr>
    </w:p>
    <w:p w14:paraId="1299C43A" w14:textId="77777777" w:rsidR="00430E07" w:rsidRDefault="00430E07" w:rsidP="001019DA">
      <w:pPr>
        <w:jc w:val="both"/>
      </w:pPr>
    </w:p>
    <w:p w14:paraId="4DDBEF00" w14:textId="77777777" w:rsidR="00430E07" w:rsidRDefault="00430E07" w:rsidP="001019DA">
      <w:pPr>
        <w:jc w:val="both"/>
      </w:pPr>
    </w:p>
    <w:p w14:paraId="3461D779" w14:textId="77777777" w:rsidR="00430E07" w:rsidRDefault="00430E07" w:rsidP="001019DA">
      <w:pPr>
        <w:jc w:val="both"/>
      </w:pPr>
    </w:p>
    <w:p w14:paraId="3CF2D8B6" w14:textId="77777777" w:rsidR="00430E07" w:rsidRDefault="00430E07" w:rsidP="001019DA">
      <w:pPr>
        <w:jc w:val="both"/>
      </w:pPr>
    </w:p>
    <w:p w14:paraId="0FB78278" w14:textId="77777777" w:rsidR="00430E07" w:rsidRDefault="00430E07" w:rsidP="001019DA">
      <w:pPr>
        <w:jc w:val="both"/>
      </w:pPr>
    </w:p>
    <w:p w14:paraId="1FC39945" w14:textId="77777777" w:rsidR="00430E07" w:rsidRDefault="00430E07" w:rsidP="001019DA">
      <w:pPr>
        <w:jc w:val="both"/>
      </w:pPr>
    </w:p>
    <w:p w14:paraId="0562CB0E" w14:textId="77777777" w:rsidR="00430E07" w:rsidRDefault="00430E07" w:rsidP="001019DA">
      <w:pPr>
        <w:jc w:val="both"/>
      </w:pPr>
    </w:p>
    <w:p w14:paraId="34CE0A41" w14:textId="77777777" w:rsidR="004D081B" w:rsidRDefault="004D081B" w:rsidP="001019DA">
      <w:pPr>
        <w:keepNext/>
        <w:keepLines/>
        <w:spacing w:before="480" w:line="276" w:lineRule="auto"/>
        <w:jc w:val="both"/>
        <w:rPr>
          <w:rFonts w:ascii="Calibri" w:eastAsia="MS Gothic" w:hAnsi="Calibri" w:cs="Calibri"/>
          <w:b/>
          <w:bCs/>
          <w:color w:val="002060"/>
          <w:sz w:val="28"/>
          <w:szCs w:val="28"/>
          <w:lang w:eastAsia="ja-JP"/>
        </w:rPr>
      </w:pPr>
    </w:p>
    <w:p w14:paraId="641DAD78" w14:textId="77777777" w:rsidR="008A3610" w:rsidRDefault="008A3610" w:rsidP="001019DA">
      <w:pPr>
        <w:keepNext/>
        <w:keepLines/>
        <w:spacing w:before="480" w:line="276" w:lineRule="auto"/>
        <w:jc w:val="both"/>
        <w:rPr>
          <w:rFonts w:ascii="Calibri" w:eastAsia="MS Gothic" w:hAnsi="Calibri" w:cs="Calibri"/>
          <w:b/>
          <w:bCs/>
          <w:color w:val="002060"/>
          <w:sz w:val="28"/>
          <w:szCs w:val="28"/>
          <w:lang w:eastAsia="ja-JP"/>
        </w:rPr>
      </w:pPr>
    </w:p>
    <w:p w14:paraId="2946DB82" w14:textId="77777777" w:rsidR="00430E07" w:rsidRDefault="00430E07" w:rsidP="001019DA">
      <w:pPr>
        <w:jc w:val="both"/>
      </w:pPr>
    </w:p>
    <w:p w14:paraId="5997CC1D" w14:textId="77777777" w:rsidR="00430E07" w:rsidRDefault="00430E07" w:rsidP="001019DA">
      <w:pPr>
        <w:jc w:val="both"/>
      </w:pPr>
    </w:p>
    <w:p w14:paraId="110FFD37" w14:textId="77777777" w:rsidR="00430E07" w:rsidRDefault="00430E07" w:rsidP="001019DA">
      <w:pPr>
        <w:jc w:val="both"/>
      </w:pPr>
    </w:p>
    <w:p w14:paraId="6B699379" w14:textId="77777777" w:rsidR="00430E07" w:rsidRDefault="00430E07" w:rsidP="001019DA">
      <w:pPr>
        <w:jc w:val="both"/>
      </w:pPr>
    </w:p>
    <w:sdt>
      <w:sdtPr>
        <w:rPr>
          <w:rFonts w:ascii="Century Gothic" w:eastAsiaTheme="minorEastAsia" w:hAnsi="Century Gothic" w:cstheme="minorBidi"/>
          <w:color w:val="auto"/>
          <w:sz w:val="18"/>
          <w:szCs w:val="24"/>
        </w:rPr>
        <w:id w:val="1810816663"/>
        <w:docPartObj>
          <w:docPartGallery w:val="Table of Contents"/>
          <w:docPartUnique/>
        </w:docPartObj>
      </w:sdtPr>
      <w:sdtEndPr>
        <w:rPr>
          <w:b/>
          <w:bCs/>
          <w:noProof/>
        </w:rPr>
      </w:sdtEndPr>
      <w:sdtContent>
        <w:p w14:paraId="113FAB90" w14:textId="324C58CC" w:rsidR="00E57A0B" w:rsidRDefault="00E57A0B" w:rsidP="001019DA">
          <w:pPr>
            <w:pStyle w:val="TOCHeading"/>
            <w:jc w:val="both"/>
          </w:pPr>
          <w:r>
            <w:t>Table of Contents</w:t>
          </w:r>
        </w:p>
        <w:p w14:paraId="6F7C53AB" w14:textId="12BD98D8" w:rsidR="002E4DBD" w:rsidRDefault="00E57A0B">
          <w:pPr>
            <w:pStyle w:val="TOC1"/>
            <w:tabs>
              <w:tab w:val="left" w:pos="720"/>
              <w:tab w:val="right" w:leader="dot" w:pos="9771"/>
            </w:tabs>
            <w:rPr>
              <w:rFonts w:asciiTheme="minorHAnsi" w:eastAsiaTheme="minorEastAsia" w:hAnsiTheme="minorHAnsi"/>
              <w:noProof/>
              <w:kern w:val="2"/>
              <w:sz w:val="24"/>
              <w:szCs w:val="24"/>
              <w:lang w:eastAsia="en-AU"/>
              <w14:ligatures w14:val="standardContextual"/>
            </w:rPr>
          </w:pPr>
          <w:r>
            <w:fldChar w:fldCharType="begin"/>
          </w:r>
          <w:r>
            <w:instrText xml:space="preserve"> TOC \o "1-3" \h \z \u </w:instrText>
          </w:r>
          <w:r>
            <w:fldChar w:fldCharType="separate"/>
          </w:r>
          <w:hyperlink w:anchor="_Toc209429077" w:history="1">
            <w:r w:rsidR="002E4DBD" w:rsidRPr="002E1C0A">
              <w:rPr>
                <w:rStyle w:val="Hyperlink"/>
                <w:b/>
                <w:bCs/>
                <w:noProof/>
              </w:rPr>
              <w:t>1.</w:t>
            </w:r>
            <w:r w:rsidR="002E4DBD">
              <w:rPr>
                <w:rFonts w:asciiTheme="minorHAnsi" w:eastAsiaTheme="minorEastAsia" w:hAnsiTheme="minorHAnsi"/>
                <w:noProof/>
                <w:kern w:val="2"/>
                <w:sz w:val="24"/>
                <w:szCs w:val="24"/>
                <w:lang w:eastAsia="en-AU"/>
                <w14:ligatures w14:val="standardContextual"/>
              </w:rPr>
              <w:tab/>
            </w:r>
            <w:r w:rsidR="002E4DBD" w:rsidRPr="002E1C0A">
              <w:rPr>
                <w:rStyle w:val="Hyperlink"/>
                <w:b/>
                <w:bCs/>
                <w:noProof/>
              </w:rPr>
              <w:t>POLICY</w:t>
            </w:r>
            <w:r w:rsidR="002E4DBD">
              <w:rPr>
                <w:noProof/>
                <w:webHidden/>
              </w:rPr>
              <w:tab/>
            </w:r>
            <w:r w:rsidR="002E4DBD">
              <w:rPr>
                <w:noProof/>
                <w:webHidden/>
              </w:rPr>
              <w:fldChar w:fldCharType="begin"/>
            </w:r>
            <w:r w:rsidR="002E4DBD">
              <w:rPr>
                <w:noProof/>
                <w:webHidden/>
              </w:rPr>
              <w:instrText xml:space="preserve"> PAGEREF _Toc209429077 \h </w:instrText>
            </w:r>
            <w:r w:rsidR="002E4DBD">
              <w:rPr>
                <w:noProof/>
                <w:webHidden/>
              </w:rPr>
            </w:r>
            <w:r w:rsidR="002E4DBD">
              <w:rPr>
                <w:noProof/>
                <w:webHidden/>
              </w:rPr>
              <w:fldChar w:fldCharType="separate"/>
            </w:r>
            <w:r w:rsidR="00D53F88">
              <w:rPr>
                <w:noProof/>
                <w:webHidden/>
              </w:rPr>
              <w:t>2</w:t>
            </w:r>
            <w:r w:rsidR="002E4DBD">
              <w:rPr>
                <w:noProof/>
                <w:webHidden/>
              </w:rPr>
              <w:fldChar w:fldCharType="end"/>
            </w:r>
          </w:hyperlink>
        </w:p>
        <w:p w14:paraId="0FA2C395" w14:textId="020A7D6A" w:rsidR="002E4DBD" w:rsidRDefault="002E4DBD">
          <w:pPr>
            <w:pStyle w:val="TOC1"/>
            <w:tabs>
              <w:tab w:val="left" w:pos="720"/>
              <w:tab w:val="right" w:leader="dot" w:pos="9771"/>
            </w:tabs>
            <w:rPr>
              <w:rFonts w:asciiTheme="minorHAnsi" w:eastAsiaTheme="minorEastAsia" w:hAnsiTheme="minorHAnsi"/>
              <w:noProof/>
              <w:kern w:val="2"/>
              <w:sz w:val="24"/>
              <w:szCs w:val="24"/>
              <w:lang w:eastAsia="en-AU"/>
              <w14:ligatures w14:val="standardContextual"/>
            </w:rPr>
          </w:pPr>
          <w:hyperlink w:anchor="_Toc209429078" w:history="1">
            <w:r w:rsidRPr="002E1C0A">
              <w:rPr>
                <w:rStyle w:val="Hyperlink"/>
                <w:b/>
                <w:bCs/>
                <w:noProof/>
              </w:rPr>
              <w:t>2.</w:t>
            </w:r>
            <w:r>
              <w:rPr>
                <w:rFonts w:asciiTheme="minorHAnsi" w:eastAsiaTheme="minorEastAsia" w:hAnsiTheme="minorHAnsi"/>
                <w:noProof/>
                <w:kern w:val="2"/>
                <w:sz w:val="24"/>
                <w:szCs w:val="24"/>
                <w:lang w:eastAsia="en-AU"/>
                <w14:ligatures w14:val="standardContextual"/>
              </w:rPr>
              <w:tab/>
            </w:r>
            <w:r w:rsidRPr="002E1C0A">
              <w:rPr>
                <w:rStyle w:val="Hyperlink"/>
                <w:b/>
                <w:bCs/>
                <w:noProof/>
              </w:rPr>
              <w:t>PURPOSE</w:t>
            </w:r>
            <w:r>
              <w:rPr>
                <w:noProof/>
                <w:webHidden/>
              </w:rPr>
              <w:tab/>
            </w:r>
            <w:r>
              <w:rPr>
                <w:noProof/>
                <w:webHidden/>
              </w:rPr>
              <w:fldChar w:fldCharType="begin"/>
            </w:r>
            <w:r>
              <w:rPr>
                <w:noProof/>
                <w:webHidden/>
              </w:rPr>
              <w:instrText xml:space="preserve"> PAGEREF _Toc209429078 \h </w:instrText>
            </w:r>
            <w:r>
              <w:rPr>
                <w:noProof/>
                <w:webHidden/>
              </w:rPr>
            </w:r>
            <w:r>
              <w:rPr>
                <w:noProof/>
                <w:webHidden/>
              </w:rPr>
              <w:fldChar w:fldCharType="separate"/>
            </w:r>
            <w:r w:rsidR="00D53F88">
              <w:rPr>
                <w:noProof/>
                <w:webHidden/>
              </w:rPr>
              <w:t>2</w:t>
            </w:r>
            <w:r>
              <w:rPr>
                <w:noProof/>
                <w:webHidden/>
              </w:rPr>
              <w:fldChar w:fldCharType="end"/>
            </w:r>
          </w:hyperlink>
        </w:p>
        <w:p w14:paraId="7235D35D" w14:textId="504303AF" w:rsidR="002E4DBD" w:rsidRDefault="002E4DBD">
          <w:pPr>
            <w:pStyle w:val="TOC1"/>
            <w:tabs>
              <w:tab w:val="left" w:pos="720"/>
              <w:tab w:val="right" w:leader="dot" w:pos="9771"/>
            </w:tabs>
            <w:rPr>
              <w:rFonts w:asciiTheme="minorHAnsi" w:eastAsiaTheme="minorEastAsia" w:hAnsiTheme="minorHAnsi"/>
              <w:noProof/>
              <w:kern w:val="2"/>
              <w:sz w:val="24"/>
              <w:szCs w:val="24"/>
              <w:lang w:eastAsia="en-AU"/>
              <w14:ligatures w14:val="standardContextual"/>
            </w:rPr>
          </w:pPr>
          <w:hyperlink w:anchor="_Toc209429079" w:history="1">
            <w:r w:rsidRPr="002E1C0A">
              <w:rPr>
                <w:rStyle w:val="Hyperlink"/>
                <w:b/>
                <w:bCs/>
                <w:noProof/>
              </w:rPr>
              <w:t>3.</w:t>
            </w:r>
            <w:r>
              <w:rPr>
                <w:rFonts w:asciiTheme="minorHAnsi" w:eastAsiaTheme="minorEastAsia" w:hAnsiTheme="minorHAnsi"/>
                <w:noProof/>
                <w:kern w:val="2"/>
                <w:sz w:val="24"/>
                <w:szCs w:val="24"/>
                <w:lang w:eastAsia="en-AU"/>
                <w14:ligatures w14:val="standardContextual"/>
              </w:rPr>
              <w:tab/>
            </w:r>
            <w:r w:rsidRPr="002E1C0A">
              <w:rPr>
                <w:rStyle w:val="Hyperlink"/>
                <w:b/>
                <w:bCs/>
                <w:noProof/>
              </w:rPr>
              <w:t>SCOPE</w:t>
            </w:r>
            <w:r>
              <w:rPr>
                <w:noProof/>
                <w:webHidden/>
              </w:rPr>
              <w:tab/>
            </w:r>
            <w:r>
              <w:rPr>
                <w:noProof/>
                <w:webHidden/>
              </w:rPr>
              <w:fldChar w:fldCharType="begin"/>
            </w:r>
            <w:r>
              <w:rPr>
                <w:noProof/>
                <w:webHidden/>
              </w:rPr>
              <w:instrText xml:space="preserve"> PAGEREF _Toc209429079 \h </w:instrText>
            </w:r>
            <w:r>
              <w:rPr>
                <w:noProof/>
                <w:webHidden/>
              </w:rPr>
            </w:r>
            <w:r>
              <w:rPr>
                <w:noProof/>
                <w:webHidden/>
              </w:rPr>
              <w:fldChar w:fldCharType="separate"/>
            </w:r>
            <w:r w:rsidR="00D53F88">
              <w:rPr>
                <w:noProof/>
                <w:webHidden/>
              </w:rPr>
              <w:t>2</w:t>
            </w:r>
            <w:r>
              <w:rPr>
                <w:noProof/>
                <w:webHidden/>
              </w:rPr>
              <w:fldChar w:fldCharType="end"/>
            </w:r>
          </w:hyperlink>
        </w:p>
        <w:p w14:paraId="15FA8562" w14:textId="002B93BA" w:rsidR="002E4DBD" w:rsidRDefault="002E4DBD">
          <w:pPr>
            <w:pStyle w:val="TOC1"/>
            <w:tabs>
              <w:tab w:val="left" w:pos="720"/>
              <w:tab w:val="right" w:leader="dot" w:pos="9771"/>
            </w:tabs>
            <w:rPr>
              <w:rFonts w:asciiTheme="minorHAnsi" w:eastAsiaTheme="minorEastAsia" w:hAnsiTheme="minorHAnsi"/>
              <w:noProof/>
              <w:kern w:val="2"/>
              <w:sz w:val="24"/>
              <w:szCs w:val="24"/>
              <w:lang w:eastAsia="en-AU"/>
              <w14:ligatures w14:val="standardContextual"/>
            </w:rPr>
          </w:pPr>
          <w:hyperlink w:anchor="_Toc209429080" w:history="1">
            <w:r w:rsidRPr="002E1C0A">
              <w:rPr>
                <w:rStyle w:val="Hyperlink"/>
                <w:b/>
                <w:bCs/>
                <w:noProof/>
              </w:rPr>
              <w:t>4.</w:t>
            </w:r>
            <w:r>
              <w:rPr>
                <w:rFonts w:asciiTheme="minorHAnsi" w:eastAsiaTheme="minorEastAsia" w:hAnsiTheme="minorHAnsi"/>
                <w:noProof/>
                <w:kern w:val="2"/>
                <w:sz w:val="24"/>
                <w:szCs w:val="24"/>
                <w:lang w:eastAsia="en-AU"/>
                <w14:ligatures w14:val="standardContextual"/>
              </w:rPr>
              <w:tab/>
            </w:r>
            <w:r w:rsidRPr="002E1C0A">
              <w:rPr>
                <w:rStyle w:val="Hyperlink"/>
                <w:b/>
                <w:bCs/>
                <w:noProof/>
              </w:rPr>
              <w:t>DEFINITIONS</w:t>
            </w:r>
            <w:r>
              <w:rPr>
                <w:noProof/>
                <w:webHidden/>
              </w:rPr>
              <w:tab/>
            </w:r>
            <w:r>
              <w:rPr>
                <w:noProof/>
                <w:webHidden/>
              </w:rPr>
              <w:fldChar w:fldCharType="begin"/>
            </w:r>
            <w:r>
              <w:rPr>
                <w:noProof/>
                <w:webHidden/>
              </w:rPr>
              <w:instrText xml:space="preserve"> PAGEREF _Toc209429080 \h </w:instrText>
            </w:r>
            <w:r>
              <w:rPr>
                <w:noProof/>
                <w:webHidden/>
              </w:rPr>
            </w:r>
            <w:r>
              <w:rPr>
                <w:noProof/>
                <w:webHidden/>
              </w:rPr>
              <w:fldChar w:fldCharType="separate"/>
            </w:r>
            <w:r w:rsidR="00D53F88">
              <w:rPr>
                <w:noProof/>
                <w:webHidden/>
              </w:rPr>
              <w:t>2</w:t>
            </w:r>
            <w:r>
              <w:rPr>
                <w:noProof/>
                <w:webHidden/>
              </w:rPr>
              <w:fldChar w:fldCharType="end"/>
            </w:r>
          </w:hyperlink>
        </w:p>
        <w:p w14:paraId="46DBB7F9" w14:textId="790DD385" w:rsidR="002E4DBD" w:rsidRDefault="002E4DBD">
          <w:pPr>
            <w:pStyle w:val="TOC1"/>
            <w:tabs>
              <w:tab w:val="left" w:pos="720"/>
              <w:tab w:val="right" w:leader="dot" w:pos="9771"/>
            </w:tabs>
            <w:rPr>
              <w:rFonts w:asciiTheme="minorHAnsi" w:eastAsiaTheme="minorEastAsia" w:hAnsiTheme="minorHAnsi"/>
              <w:noProof/>
              <w:kern w:val="2"/>
              <w:sz w:val="24"/>
              <w:szCs w:val="24"/>
              <w:lang w:eastAsia="en-AU"/>
              <w14:ligatures w14:val="standardContextual"/>
            </w:rPr>
          </w:pPr>
          <w:hyperlink w:anchor="_Toc209429081" w:history="1">
            <w:r w:rsidRPr="002E1C0A">
              <w:rPr>
                <w:rStyle w:val="Hyperlink"/>
                <w:b/>
                <w:bCs/>
                <w:noProof/>
              </w:rPr>
              <w:t>5.</w:t>
            </w:r>
            <w:r>
              <w:rPr>
                <w:rFonts w:asciiTheme="minorHAnsi" w:eastAsiaTheme="minorEastAsia" w:hAnsiTheme="minorHAnsi"/>
                <w:noProof/>
                <w:kern w:val="2"/>
                <w:sz w:val="24"/>
                <w:szCs w:val="24"/>
                <w:lang w:eastAsia="en-AU"/>
                <w14:ligatures w14:val="standardContextual"/>
              </w:rPr>
              <w:tab/>
            </w:r>
            <w:r w:rsidRPr="002E1C0A">
              <w:rPr>
                <w:rStyle w:val="Hyperlink"/>
                <w:b/>
                <w:bCs/>
                <w:noProof/>
              </w:rPr>
              <w:t>POLICY STATEMENT</w:t>
            </w:r>
            <w:r>
              <w:rPr>
                <w:noProof/>
                <w:webHidden/>
              </w:rPr>
              <w:tab/>
            </w:r>
            <w:r>
              <w:rPr>
                <w:noProof/>
                <w:webHidden/>
              </w:rPr>
              <w:fldChar w:fldCharType="begin"/>
            </w:r>
            <w:r>
              <w:rPr>
                <w:noProof/>
                <w:webHidden/>
              </w:rPr>
              <w:instrText xml:space="preserve"> PAGEREF _Toc209429081 \h </w:instrText>
            </w:r>
            <w:r>
              <w:rPr>
                <w:noProof/>
                <w:webHidden/>
              </w:rPr>
            </w:r>
            <w:r>
              <w:rPr>
                <w:noProof/>
                <w:webHidden/>
              </w:rPr>
              <w:fldChar w:fldCharType="separate"/>
            </w:r>
            <w:r w:rsidR="00D53F88">
              <w:rPr>
                <w:noProof/>
                <w:webHidden/>
              </w:rPr>
              <w:t>3</w:t>
            </w:r>
            <w:r>
              <w:rPr>
                <w:noProof/>
                <w:webHidden/>
              </w:rPr>
              <w:fldChar w:fldCharType="end"/>
            </w:r>
          </w:hyperlink>
        </w:p>
        <w:p w14:paraId="762DAE36" w14:textId="0890EF88"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082" w:history="1">
            <w:r w:rsidRPr="002E1C0A">
              <w:rPr>
                <w:rStyle w:val="Hyperlink"/>
                <w:b/>
                <w:bCs/>
                <w:noProof/>
                <w:lang w:val="en-AU"/>
              </w:rPr>
              <w:t>Provision of information</w:t>
            </w:r>
            <w:r>
              <w:rPr>
                <w:noProof/>
                <w:webHidden/>
              </w:rPr>
              <w:tab/>
            </w:r>
            <w:r>
              <w:rPr>
                <w:noProof/>
                <w:webHidden/>
              </w:rPr>
              <w:fldChar w:fldCharType="begin"/>
            </w:r>
            <w:r>
              <w:rPr>
                <w:noProof/>
                <w:webHidden/>
              </w:rPr>
              <w:instrText xml:space="preserve"> PAGEREF _Toc209429082 \h </w:instrText>
            </w:r>
            <w:r>
              <w:rPr>
                <w:noProof/>
                <w:webHidden/>
              </w:rPr>
            </w:r>
            <w:r>
              <w:rPr>
                <w:noProof/>
                <w:webHidden/>
              </w:rPr>
              <w:fldChar w:fldCharType="separate"/>
            </w:r>
            <w:r w:rsidR="00D53F88">
              <w:rPr>
                <w:noProof/>
                <w:webHidden/>
              </w:rPr>
              <w:t>3</w:t>
            </w:r>
            <w:r>
              <w:rPr>
                <w:noProof/>
                <w:webHidden/>
              </w:rPr>
              <w:fldChar w:fldCharType="end"/>
            </w:r>
          </w:hyperlink>
        </w:p>
        <w:p w14:paraId="518136E4" w14:textId="6D355A92" w:rsidR="002E4DBD" w:rsidRDefault="002E4DBD">
          <w:pPr>
            <w:pStyle w:val="TOC1"/>
            <w:tabs>
              <w:tab w:val="left" w:pos="720"/>
              <w:tab w:val="right" w:leader="dot" w:pos="9771"/>
            </w:tabs>
            <w:rPr>
              <w:rFonts w:asciiTheme="minorHAnsi" w:eastAsiaTheme="minorEastAsia" w:hAnsiTheme="minorHAnsi"/>
              <w:noProof/>
              <w:kern w:val="2"/>
              <w:sz w:val="24"/>
              <w:szCs w:val="24"/>
              <w:lang w:eastAsia="en-AU"/>
              <w14:ligatures w14:val="standardContextual"/>
            </w:rPr>
          </w:pPr>
          <w:hyperlink w:anchor="_Toc209429083" w:history="1">
            <w:r w:rsidRPr="002E1C0A">
              <w:rPr>
                <w:rStyle w:val="Hyperlink"/>
                <w:b/>
                <w:bCs/>
                <w:noProof/>
              </w:rPr>
              <w:t>6.</w:t>
            </w:r>
            <w:r>
              <w:rPr>
                <w:rFonts w:asciiTheme="minorHAnsi" w:eastAsiaTheme="minorEastAsia" w:hAnsiTheme="minorHAnsi"/>
                <w:noProof/>
                <w:kern w:val="2"/>
                <w:sz w:val="24"/>
                <w:szCs w:val="24"/>
                <w:lang w:eastAsia="en-AU"/>
                <w14:ligatures w14:val="standardContextual"/>
              </w:rPr>
              <w:tab/>
            </w:r>
            <w:r w:rsidRPr="002E1C0A">
              <w:rPr>
                <w:rStyle w:val="Hyperlink"/>
                <w:b/>
                <w:bCs/>
                <w:noProof/>
              </w:rPr>
              <w:t>PROGRAM GUIDELINES</w:t>
            </w:r>
            <w:r>
              <w:rPr>
                <w:noProof/>
                <w:webHidden/>
              </w:rPr>
              <w:tab/>
            </w:r>
            <w:r>
              <w:rPr>
                <w:noProof/>
                <w:webHidden/>
              </w:rPr>
              <w:fldChar w:fldCharType="begin"/>
            </w:r>
            <w:r>
              <w:rPr>
                <w:noProof/>
                <w:webHidden/>
              </w:rPr>
              <w:instrText xml:space="preserve"> PAGEREF _Toc209429083 \h </w:instrText>
            </w:r>
            <w:r>
              <w:rPr>
                <w:noProof/>
                <w:webHidden/>
              </w:rPr>
            </w:r>
            <w:r>
              <w:rPr>
                <w:noProof/>
                <w:webHidden/>
              </w:rPr>
              <w:fldChar w:fldCharType="separate"/>
            </w:r>
            <w:r w:rsidR="00D53F88">
              <w:rPr>
                <w:noProof/>
                <w:webHidden/>
              </w:rPr>
              <w:t>4</w:t>
            </w:r>
            <w:r>
              <w:rPr>
                <w:noProof/>
                <w:webHidden/>
              </w:rPr>
              <w:fldChar w:fldCharType="end"/>
            </w:r>
          </w:hyperlink>
        </w:p>
        <w:p w14:paraId="6523AA9C" w14:textId="681F5580"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084" w:history="1">
            <w:r w:rsidRPr="002E1C0A">
              <w:rPr>
                <w:rStyle w:val="Hyperlink"/>
                <w:b/>
                <w:bCs/>
                <w:noProof/>
                <w:lang w:val="en-AU"/>
              </w:rPr>
              <w:t>Albright Institute of Business and Language – Professional Year Program</w:t>
            </w:r>
            <w:r>
              <w:rPr>
                <w:noProof/>
                <w:webHidden/>
              </w:rPr>
              <w:tab/>
            </w:r>
            <w:r>
              <w:rPr>
                <w:noProof/>
                <w:webHidden/>
              </w:rPr>
              <w:fldChar w:fldCharType="begin"/>
            </w:r>
            <w:r>
              <w:rPr>
                <w:noProof/>
                <w:webHidden/>
              </w:rPr>
              <w:instrText xml:space="preserve"> PAGEREF _Toc209429084 \h </w:instrText>
            </w:r>
            <w:r>
              <w:rPr>
                <w:noProof/>
                <w:webHidden/>
              </w:rPr>
            </w:r>
            <w:r>
              <w:rPr>
                <w:noProof/>
                <w:webHidden/>
              </w:rPr>
              <w:fldChar w:fldCharType="separate"/>
            </w:r>
            <w:r w:rsidR="00D53F88">
              <w:rPr>
                <w:noProof/>
                <w:webHidden/>
              </w:rPr>
              <w:t>4</w:t>
            </w:r>
            <w:r>
              <w:rPr>
                <w:noProof/>
                <w:webHidden/>
              </w:rPr>
              <w:fldChar w:fldCharType="end"/>
            </w:r>
          </w:hyperlink>
        </w:p>
        <w:p w14:paraId="2454FE16" w14:textId="08BCACF0" w:rsidR="002E4DBD" w:rsidRDefault="002E4DBD">
          <w:pPr>
            <w:pStyle w:val="TOC1"/>
            <w:tabs>
              <w:tab w:val="left" w:pos="720"/>
              <w:tab w:val="right" w:leader="dot" w:pos="9771"/>
            </w:tabs>
            <w:rPr>
              <w:rFonts w:asciiTheme="minorHAnsi" w:eastAsiaTheme="minorEastAsia" w:hAnsiTheme="minorHAnsi"/>
              <w:noProof/>
              <w:kern w:val="2"/>
              <w:sz w:val="24"/>
              <w:szCs w:val="24"/>
              <w:lang w:eastAsia="en-AU"/>
              <w14:ligatures w14:val="standardContextual"/>
            </w:rPr>
          </w:pPr>
          <w:hyperlink w:anchor="_Toc209429085" w:history="1">
            <w:r w:rsidRPr="002E1C0A">
              <w:rPr>
                <w:rStyle w:val="Hyperlink"/>
                <w:b/>
                <w:bCs/>
                <w:noProof/>
              </w:rPr>
              <w:t>7.</w:t>
            </w:r>
            <w:r>
              <w:rPr>
                <w:rFonts w:asciiTheme="minorHAnsi" w:eastAsiaTheme="minorEastAsia" w:hAnsiTheme="minorHAnsi"/>
                <w:noProof/>
                <w:kern w:val="2"/>
                <w:sz w:val="24"/>
                <w:szCs w:val="24"/>
                <w:lang w:eastAsia="en-AU"/>
                <w14:ligatures w14:val="standardContextual"/>
              </w:rPr>
              <w:tab/>
            </w:r>
            <w:r w:rsidRPr="002E1C0A">
              <w:rPr>
                <w:rStyle w:val="Hyperlink"/>
                <w:b/>
                <w:bCs/>
                <w:noProof/>
              </w:rPr>
              <w:t>PROCEDURE</w:t>
            </w:r>
            <w:r>
              <w:rPr>
                <w:noProof/>
                <w:webHidden/>
              </w:rPr>
              <w:tab/>
            </w:r>
            <w:r>
              <w:rPr>
                <w:noProof/>
                <w:webHidden/>
              </w:rPr>
              <w:fldChar w:fldCharType="begin"/>
            </w:r>
            <w:r>
              <w:rPr>
                <w:noProof/>
                <w:webHidden/>
              </w:rPr>
              <w:instrText xml:space="preserve"> PAGEREF _Toc209429085 \h </w:instrText>
            </w:r>
            <w:r>
              <w:rPr>
                <w:noProof/>
                <w:webHidden/>
              </w:rPr>
            </w:r>
            <w:r>
              <w:rPr>
                <w:noProof/>
                <w:webHidden/>
              </w:rPr>
              <w:fldChar w:fldCharType="separate"/>
            </w:r>
            <w:r w:rsidR="00D53F88">
              <w:rPr>
                <w:noProof/>
                <w:webHidden/>
              </w:rPr>
              <w:t>5</w:t>
            </w:r>
            <w:r>
              <w:rPr>
                <w:noProof/>
                <w:webHidden/>
              </w:rPr>
              <w:fldChar w:fldCharType="end"/>
            </w:r>
          </w:hyperlink>
        </w:p>
        <w:p w14:paraId="6BA45C8B" w14:textId="322622CC"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086" w:history="1">
            <w:r w:rsidRPr="002E1C0A">
              <w:rPr>
                <w:rStyle w:val="Hyperlink"/>
                <w:b/>
                <w:bCs/>
                <w:noProof/>
              </w:rPr>
              <w:t>32-Week Course Delivery Overview</w:t>
            </w:r>
            <w:r>
              <w:rPr>
                <w:noProof/>
                <w:webHidden/>
              </w:rPr>
              <w:tab/>
            </w:r>
            <w:r>
              <w:rPr>
                <w:noProof/>
                <w:webHidden/>
              </w:rPr>
              <w:fldChar w:fldCharType="begin"/>
            </w:r>
            <w:r>
              <w:rPr>
                <w:noProof/>
                <w:webHidden/>
              </w:rPr>
              <w:instrText xml:space="preserve"> PAGEREF _Toc209429086 \h </w:instrText>
            </w:r>
            <w:r>
              <w:rPr>
                <w:noProof/>
                <w:webHidden/>
              </w:rPr>
            </w:r>
            <w:r>
              <w:rPr>
                <w:noProof/>
                <w:webHidden/>
              </w:rPr>
              <w:fldChar w:fldCharType="separate"/>
            </w:r>
            <w:r w:rsidR="00D53F88">
              <w:rPr>
                <w:noProof/>
                <w:webHidden/>
              </w:rPr>
              <w:t>5</w:t>
            </w:r>
            <w:r>
              <w:rPr>
                <w:noProof/>
                <w:webHidden/>
              </w:rPr>
              <w:fldChar w:fldCharType="end"/>
            </w:r>
          </w:hyperlink>
        </w:p>
        <w:p w14:paraId="1B7F3670" w14:textId="51FAA067"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087" w:history="1">
            <w:r w:rsidRPr="002E1C0A">
              <w:rPr>
                <w:rStyle w:val="Hyperlink"/>
                <w:b/>
                <w:bCs/>
                <w:noProof/>
                <w:lang w:val="en-AU"/>
              </w:rPr>
              <w:t>Enrolments</w:t>
            </w:r>
            <w:r>
              <w:rPr>
                <w:noProof/>
                <w:webHidden/>
              </w:rPr>
              <w:tab/>
            </w:r>
            <w:r>
              <w:rPr>
                <w:noProof/>
                <w:webHidden/>
              </w:rPr>
              <w:fldChar w:fldCharType="begin"/>
            </w:r>
            <w:r>
              <w:rPr>
                <w:noProof/>
                <w:webHidden/>
              </w:rPr>
              <w:instrText xml:space="preserve"> PAGEREF _Toc209429087 \h </w:instrText>
            </w:r>
            <w:r>
              <w:rPr>
                <w:noProof/>
                <w:webHidden/>
              </w:rPr>
            </w:r>
            <w:r>
              <w:rPr>
                <w:noProof/>
                <w:webHidden/>
              </w:rPr>
              <w:fldChar w:fldCharType="separate"/>
            </w:r>
            <w:r w:rsidR="00D53F88">
              <w:rPr>
                <w:noProof/>
                <w:webHidden/>
              </w:rPr>
              <w:t>5</w:t>
            </w:r>
            <w:r>
              <w:rPr>
                <w:noProof/>
                <w:webHidden/>
              </w:rPr>
              <w:fldChar w:fldCharType="end"/>
            </w:r>
          </w:hyperlink>
        </w:p>
        <w:p w14:paraId="7A581690" w14:textId="706234E2"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088" w:history="1">
            <w:r w:rsidRPr="002E1C0A">
              <w:rPr>
                <w:rStyle w:val="Hyperlink"/>
                <w:b/>
                <w:bCs/>
                <w:noProof/>
                <w:lang w:val="en-AU"/>
              </w:rPr>
              <w:t>EEA Cohort Identifier Codes</w:t>
            </w:r>
            <w:r>
              <w:rPr>
                <w:noProof/>
                <w:webHidden/>
              </w:rPr>
              <w:tab/>
            </w:r>
            <w:r>
              <w:rPr>
                <w:noProof/>
                <w:webHidden/>
              </w:rPr>
              <w:fldChar w:fldCharType="begin"/>
            </w:r>
            <w:r>
              <w:rPr>
                <w:noProof/>
                <w:webHidden/>
              </w:rPr>
              <w:instrText xml:space="preserve"> PAGEREF _Toc209429088 \h </w:instrText>
            </w:r>
            <w:r>
              <w:rPr>
                <w:noProof/>
                <w:webHidden/>
              </w:rPr>
            </w:r>
            <w:r>
              <w:rPr>
                <w:noProof/>
                <w:webHidden/>
              </w:rPr>
              <w:fldChar w:fldCharType="separate"/>
            </w:r>
            <w:r w:rsidR="00D53F88">
              <w:rPr>
                <w:noProof/>
                <w:webHidden/>
              </w:rPr>
              <w:t>5</w:t>
            </w:r>
            <w:r>
              <w:rPr>
                <w:noProof/>
                <w:webHidden/>
              </w:rPr>
              <w:fldChar w:fldCharType="end"/>
            </w:r>
          </w:hyperlink>
        </w:p>
        <w:p w14:paraId="20669524" w14:textId="7764552B"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089" w:history="1">
            <w:r w:rsidRPr="002E1C0A">
              <w:rPr>
                <w:rStyle w:val="Hyperlink"/>
                <w:b/>
                <w:bCs/>
                <w:noProof/>
              </w:rPr>
              <w:t>Induction and Orientation</w:t>
            </w:r>
            <w:r>
              <w:rPr>
                <w:noProof/>
                <w:webHidden/>
              </w:rPr>
              <w:tab/>
            </w:r>
            <w:r>
              <w:rPr>
                <w:noProof/>
                <w:webHidden/>
              </w:rPr>
              <w:fldChar w:fldCharType="begin"/>
            </w:r>
            <w:r>
              <w:rPr>
                <w:noProof/>
                <w:webHidden/>
              </w:rPr>
              <w:instrText xml:space="preserve"> PAGEREF _Toc209429089 \h </w:instrText>
            </w:r>
            <w:r>
              <w:rPr>
                <w:noProof/>
                <w:webHidden/>
              </w:rPr>
            </w:r>
            <w:r>
              <w:rPr>
                <w:noProof/>
                <w:webHidden/>
              </w:rPr>
              <w:fldChar w:fldCharType="separate"/>
            </w:r>
            <w:r w:rsidR="00D53F88">
              <w:rPr>
                <w:noProof/>
                <w:webHidden/>
              </w:rPr>
              <w:t>5</w:t>
            </w:r>
            <w:r>
              <w:rPr>
                <w:noProof/>
                <w:webHidden/>
              </w:rPr>
              <w:fldChar w:fldCharType="end"/>
            </w:r>
          </w:hyperlink>
        </w:p>
        <w:p w14:paraId="1A743F40" w14:textId="0F98B09C"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090" w:history="1">
            <w:r w:rsidRPr="002E1C0A">
              <w:rPr>
                <w:rStyle w:val="Hyperlink"/>
                <w:b/>
                <w:bCs/>
                <w:noProof/>
              </w:rPr>
              <w:t>Rolling Cohorts</w:t>
            </w:r>
            <w:r>
              <w:rPr>
                <w:noProof/>
                <w:webHidden/>
              </w:rPr>
              <w:tab/>
            </w:r>
            <w:r>
              <w:rPr>
                <w:noProof/>
                <w:webHidden/>
              </w:rPr>
              <w:fldChar w:fldCharType="begin"/>
            </w:r>
            <w:r>
              <w:rPr>
                <w:noProof/>
                <w:webHidden/>
              </w:rPr>
              <w:instrText xml:space="preserve"> PAGEREF _Toc209429090 \h </w:instrText>
            </w:r>
            <w:r>
              <w:rPr>
                <w:noProof/>
                <w:webHidden/>
              </w:rPr>
            </w:r>
            <w:r>
              <w:rPr>
                <w:noProof/>
                <w:webHidden/>
              </w:rPr>
              <w:fldChar w:fldCharType="separate"/>
            </w:r>
            <w:r w:rsidR="00D53F88">
              <w:rPr>
                <w:noProof/>
                <w:webHidden/>
              </w:rPr>
              <w:t>6</w:t>
            </w:r>
            <w:r>
              <w:rPr>
                <w:noProof/>
                <w:webHidden/>
              </w:rPr>
              <w:fldChar w:fldCharType="end"/>
            </w:r>
          </w:hyperlink>
        </w:p>
        <w:p w14:paraId="78AB446D" w14:textId="1B28D548"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091" w:history="1">
            <w:r w:rsidRPr="002E1C0A">
              <w:rPr>
                <w:rStyle w:val="Hyperlink"/>
                <w:b/>
                <w:bCs/>
                <w:noProof/>
              </w:rPr>
              <w:t>Assessments</w:t>
            </w:r>
            <w:r>
              <w:rPr>
                <w:noProof/>
                <w:webHidden/>
              </w:rPr>
              <w:tab/>
            </w:r>
            <w:r>
              <w:rPr>
                <w:noProof/>
                <w:webHidden/>
              </w:rPr>
              <w:fldChar w:fldCharType="begin"/>
            </w:r>
            <w:r>
              <w:rPr>
                <w:noProof/>
                <w:webHidden/>
              </w:rPr>
              <w:instrText xml:space="preserve"> PAGEREF _Toc209429091 \h </w:instrText>
            </w:r>
            <w:r>
              <w:rPr>
                <w:noProof/>
                <w:webHidden/>
              </w:rPr>
            </w:r>
            <w:r>
              <w:rPr>
                <w:noProof/>
                <w:webHidden/>
              </w:rPr>
              <w:fldChar w:fldCharType="separate"/>
            </w:r>
            <w:r w:rsidR="00D53F88">
              <w:rPr>
                <w:noProof/>
                <w:webHidden/>
              </w:rPr>
              <w:t>6</w:t>
            </w:r>
            <w:r>
              <w:rPr>
                <w:noProof/>
                <w:webHidden/>
              </w:rPr>
              <w:fldChar w:fldCharType="end"/>
            </w:r>
          </w:hyperlink>
        </w:p>
        <w:p w14:paraId="5D6D030E" w14:textId="537D33A9"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092" w:history="1">
            <w:r w:rsidRPr="002E1C0A">
              <w:rPr>
                <w:rStyle w:val="Hyperlink"/>
                <w:b/>
                <w:bCs/>
                <w:noProof/>
              </w:rPr>
              <w:t>Extensions and Submissions</w:t>
            </w:r>
            <w:r>
              <w:rPr>
                <w:noProof/>
                <w:webHidden/>
              </w:rPr>
              <w:tab/>
            </w:r>
            <w:r>
              <w:rPr>
                <w:noProof/>
                <w:webHidden/>
              </w:rPr>
              <w:fldChar w:fldCharType="begin"/>
            </w:r>
            <w:r>
              <w:rPr>
                <w:noProof/>
                <w:webHidden/>
              </w:rPr>
              <w:instrText xml:space="preserve"> PAGEREF _Toc209429092 \h </w:instrText>
            </w:r>
            <w:r>
              <w:rPr>
                <w:noProof/>
                <w:webHidden/>
              </w:rPr>
            </w:r>
            <w:r>
              <w:rPr>
                <w:noProof/>
                <w:webHidden/>
              </w:rPr>
              <w:fldChar w:fldCharType="separate"/>
            </w:r>
            <w:r w:rsidR="00D53F88">
              <w:rPr>
                <w:noProof/>
                <w:webHidden/>
              </w:rPr>
              <w:t>6</w:t>
            </w:r>
            <w:r>
              <w:rPr>
                <w:noProof/>
                <w:webHidden/>
              </w:rPr>
              <w:fldChar w:fldCharType="end"/>
            </w:r>
          </w:hyperlink>
        </w:p>
        <w:p w14:paraId="3A1B1ADC" w14:textId="2B6275CC"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093" w:history="1">
            <w:r w:rsidRPr="002E1C0A">
              <w:rPr>
                <w:rStyle w:val="Hyperlink"/>
                <w:b/>
                <w:bCs/>
                <w:noProof/>
              </w:rPr>
              <w:t>Progress Reviews (Weeks 24 &amp; 32)</w:t>
            </w:r>
            <w:r>
              <w:rPr>
                <w:noProof/>
                <w:webHidden/>
              </w:rPr>
              <w:tab/>
            </w:r>
            <w:r>
              <w:rPr>
                <w:noProof/>
                <w:webHidden/>
              </w:rPr>
              <w:fldChar w:fldCharType="begin"/>
            </w:r>
            <w:r>
              <w:rPr>
                <w:noProof/>
                <w:webHidden/>
              </w:rPr>
              <w:instrText xml:space="preserve"> PAGEREF _Toc209429093 \h </w:instrText>
            </w:r>
            <w:r>
              <w:rPr>
                <w:noProof/>
                <w:webHidden/>
              </w:rPr>
            </w:r>
            <w:r>
              <w:rPr>
                <w:noProof/>
                <w:webHidden/>
              </w:rPr>
              <w:fldChar w:fldCharType="separate"/>
            </w:r>
            <w:r w:rsidR="00D53F88">
              <w:rPr>
                <w:noProof/>
                <w:webHidden/>
              </w:rPr>
              <w:t>6</w:t>
            </w:r>
            <w:r>
              <w:rPr>
                <w:noProof/>
                <w:webHidden/>
              </w:rPr>
              <w:fldChar w:fldCharType="end"/>
            </w:r>
          </w:hyperlink>
        </w:p>
        <w:p w14:paraId="3CE23D8B" w14:textId="7714FD1F"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094" w:history="1">
            <w:r w:rsidRPr="002E1C0A">
              <w:rPr>
                <w:rStyle w:val="Hyperlink"/>
                <w:b/>
                <w:bCs/>
                <w:noProof/>
              </w:rPr>
              <w:t>Professional Association Study Requirements</w:t>
            </w:r>
            <w:r>
              <w:rPr>
                <w:noProof/>
                <w:webHidden/>
              </w:rPr>
              <w:tab/>
            </w:r>
            <w:r>
              <w:rPr>
                <w:noProof/>
                <w:webHidden/>
              </w:rPr>
              <w:fldChar w:fldCharType="begin"/>
            </w:r>
            <w:r>
              <w:rPr>
                <w:noProof/>
                <w:webHidden/>
              </w:rPr>
              <w:instrText xml:space="preserve"> PAGEREF _Toc209429094 \h </w:instrText>
            </w:r>
            <w:r>
              <w:rPr>
                <w:noProof/>
                <w:webHidden/>
              </w:rPr>
            </w:r>
            <w:r>
              <w:rPr>
                <w:noProof/>
                <w:webHidden/>
              </w:rPr>
              <w:fldChar w:fldCharType="separate"/>
            </w:r>
            <w:r w:rsidR="00D53F88">
              <w:rPr>
                <w:noProof/>
                <w:webHidden/>
              </w:rPr>
              <w:t>6</w:t>
            </w:r>
            <w:r>
              <w:rPr>
                <w:noProof/>
                <w:webHidden/>
              </w:rPr>
              <w:fldChar w:fldCharType="end"/>
            </w:r>
          </w:hyperlink>
        </w:p>
        <w:p w14:paraId="4E5FCC3F" w14:textId="4C2D2C4F"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095" w:history="1">
            <w:r w:rsidRPr="002E1C0A">
              <w:rPr>
                <w:rStyle w:val="Hyperlink"/>
                <w:b/>
                <w:bCs/>
                <w:noProof/>
              </w:rPr>
              <w:t>Class Times and Breaks</w:t>
            </w:r>
            <w:r>
              <w:rPr>
                <w:noProof/>
                <w:webHidden/>
              </w:rPr>
              <w:tab/>
            </w:r>
            <w:r>
              <w:rPr>
                <w:noProof/>
                <w:webHidden/>
              </w:rPr>
              <w:fldChar w:fldCharType="begin"/>
            </w:r>
            <w:r>
              <w:rPr>
                <w:noProof/>
                <w:webHidden/>
              </w:rPr>
              <w:instrText xml:space="preserve"> PAGEREF _Toc209429095 \h </w:instrText>
            </w:r>
            <w:r>
              <w:rPr>
                <w:noProof/>
                <w:webHidden/>
              </w:rPr>
            </w:r>
            <w:r>
              <w:rPr>
                <w:noProof/>
                <w:webHidden/>
              </w:rPr>
              <w:fldChar w:fldCharType="separate"/>
            </w:r>
            <w:r w:rsidR="00D53F88">
              <w:rPr>
                <w:noProof/>
                <w:webHidden/>
              </w:rPr>
              <w:t>6</w:t>
            </w:r>
            <w:r>
              <w:rPr>
                <w:noProof/>
                <w:webHidden/>
              </w:rPr>
              <w:fldChar w:fldCharType="end"/>
            </w:r>
          </w:hyperlink>
        </w:p>
        <w:p w14:paraId="4C2B630E" w14:textId="1CFB9B7A"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096" w:history="1">
            <w:r w:rsidRPr="002E1C0A">
              <w:rPr>
                <w:rStyle w:val="Hyperlink"/>
                <w:b/>
                <w:bCs/>
                <w:noProof/>
              </w:rPr>
              <w:t>Access &amp; Use of IT (Including BYOD)</w:t>
            </w:r>
            <w:r>
              <w:rPr>
                <w:noProof/>
                <w:webHidden/>
              </w:rPr>
              <w:tab/>
            </w:r>
            <w:r>
              <w:rPr>
                <w:noProof/>
                <w:webHidden/>
              </w:rPr>
              <w:fldChar w:fldCharType="begin"/>
            </w:r>
            <w:r>
              <w:rPr>
                <w:noProof/>
                <w:webHidden/>
              </w:rPr>
              <w:instrText xml:space="preserve"> PAGEREF _Toc209429096 \h </w:instrText>
            </w:r>
            <w:r>
              <w:rPr>
                <w:noProof/>
                <w:webHidden/>
              </w:rPr>
            </w:r>
            <w:r>
              <w:rPr>
                <w:noProof/>
                <w:webHidden/>
              </w:rPr>
              <w:fldChar w:fldCharType="separate"/>
            </w:r>
            <w:r w:rsidR="00D53F88">
              <w:rPr>
                <w:noProof/>
                <w:webHidden/>
              </w:rPr>
              <w:t>6</w:t>
            </w:r>
            <w:r>
              <w:rPr>
                <w:noProof/>
                <w:webHidden/>
              </w:rPr>
              <w:fldChar w:fldCharType="end"/>
            </w:r>
          </w:hyperlink>
        </w:p>
        <w:p w14:paraId="3783E594" w14:textId="376DBCFD"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097" w:history="1">
            <w:r w:rsidRPr="002E1C0A">
              <w:rPr>
                <w:rStyle w:val="Hyperlink"/>
                <w:b/>
                <w:bCs/>
                <w:noProof/>
              </w:rPr>
              <w:t>Attendance</w:t>
            </w:r>
            <w:r>
              <w:rPr>
                <w:noProof/>
                <w:webHidden/>
              </w:rPr>
              <w:tab/>
            </w:r>
            <w:r>
              <w:rPr>
                <w:noProof/>
                <w:webHidden/>
              </w:rPr>
              <w:fldChar w:fldCharType="begin"/>
            </w:r>
            <w:r>
              <w:rPr>
                <w:noProof/>
                <w:webHidden/>
              </w:rPr>
              <w:instrText xml:space="preserve"> PAGEREF _Toc209429097 \h </w:instrText>
            </w:r>
            <w:r>
              <w:rPr>
                <w:noProof/>
                <w:webHidden/>
              </w:rPr>
            </w:r>
            <w:r>
              <w:rPr>
                <w:noProof/>
                <w:webHidden/>
              </w:rPr>
              <w:fldChar w:fldCharType="separate"/>
            </w:r>
            <w:r w:rsidR="00D53F88">
              <w:rPr>
                <w:noProof/>
                <w:webHidden/>
              </w:rPr>
              <w:t>7</w:t>
            </w:r>
            <w:r>
              <w:rPr>
                <w:noProof/>
                <w:webHidden/>
              </w:rPr>
              <w:fldChar w:fldCharType="end"/>
            </w:r>
          </w:hyperlink>
        </w:p>
        <w:p w14:paraId="5A0B4245" w14:textId="50AF5F5F"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098" w:history="1">
            <w:r w:rsidRPr="002E1C0A">
              <w:rPr>
                <w:rStyle w:val="Hyperlink"/>
                <w:b/>
                <w:bCs/>
                <w:noProof/>
              </w:rPr>
              <w:t>Leave Policy</w:t>
            </w:r>
            <w:r>
              <w:rPr>
                <w:noProof/>
                <w:webHidden/>
              </w:rPr>
              <w:tab/>
            </w:r>
            <w:r>
              <w:rPr>
                <w:noProof/>
                <w:webHidden/>
              </w:rPr>
              <w:fldChar w:fldCharType="begin"/>
            </w:r>
            <w:r>
              <w:rPr>
                <w:noProof/>
                <w:webHidden/>
              </w:rPr>
              <w:instrText xml:space="preserve"> PAGEREF _Toc209429098 \h </w:instrText>
            </w:r>
            <w:r>
              <w:rPr>
                <w:noProof/>
                <w:webHidden/>
              </w:rPr>
            </w:r>
            <w:r>
              <w:rPr>
                <w:noProof/>
                <w:webHidden/>
              </w:rPr>
              <w:fldChar w:fldCharType="separate"/>
            </w:r>
            <w:r w:rsidR="00D53F88">
              <w:rPr>
                <w:noProof/>
                <w:webHidden/>
              </w:rPr>
              <w:t>7</w:t>
            </w:r>
            <w:r>
              <w:rPr>
                <w:noProof/>
                <w:webHidden/>
              </w:rPr>
              <w:fldChar w:fldCharType="end"/>
            </w:r>
          </w:hyperlink>
        </w:p>
        <w:p w14:paraId="7CFA334B" w14:textId="2F48C981"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099" w:history="1">
            <w:r w:rsidRPr="002E1C0A">
              <w:rPr>
                <w:rStyle w:val="Hyperlink"/>
                <w:b/>
                <w:bCs/>
                <w:noProof/>
              </w:rPr>
              <w:t>Requesting Leave</w:t>
            </w:r>
            <w:r>
              <w:rPr>
                <w:noProof/>
                <w:webHidden/>
              </w:rPr>
              <w:tab/>
            </w:r>
            <w:r>
              <w:rPr>
                <w:noProof/>
                <w:webHidden/>
              </w:rPr>
              <w:fldChar w:fldCharType="begin"/>
            </w:r>
            <w:r>
              <w:rPr>
                <w:noProof/>
                <w:webHidden/>
              </w:rPr>
              <w:instrText xml:space="preserve"> PAGEREF _Toc209429099 \h </w:instrText>
            </w:r>
            <w:r>
              <w:rPr>
                <w:noProof/>
                <w:webHidden/>
              </w:rPr>
            </w:r>
            <w:r>
              <w:rPr>
                <w:noProof/>
                <w:webHidden/>
              </w:rPr>
              <w:fldChar w:fldCharType="separate"/>
            </w:r>
            <w:r w:rsidR="00D53F88">
              <w:rPr>
                <w:noProof/>
                <w:webHidden/>
              </w:rPr>
              <w:t>7</w:t>
            </w:r>
            <w:r>
              <w:rPr>
                <w:noProof/>
                <w:webHidden/>
              </w:rPr>
              <w:fldChar w:fldCharType="end"/>
            </w:r>
          </w:hyperlink>
        </w:p>
        <w:p w14:paraId="258EC978" w14:textId="0D5D32EA"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100" w:history="1">
            <w:r w:rsidRPr="002E1C0A">
              <w:rPr>
                <w:rStyle w:val="Hyperlink"/>
                <w:b/>
                <w:bCs/>
                <w:noProof/>
              </w:rPr>
              <w:t>Unexpected Absence</w:t>
            </w:r>
            <w:r>
              <w:rPr>
                <w:noProof/>
                <w:webHidden/>
              </w:rPr>
              <w:tab/>
            </w:r>
            <w:r>
              <w:rPr>
                <w:noProof/>
                <w:webHidden/>
              </w:rPr>
              <w:fldChar w:fldCharType="begin"/>
            </w:r>
            <w:r>
              <w:rPr>
                <w:noProof/>
                <w:webHidden/>
              </w:rPr>
              <w:instrText xml:space="preserve"> PAGEREF _Toc209429100 \h </w:instrText>
            </w:r>
            <w:r>
              <w:rPr>
                <w:noProof/>
                <w:webHidden/>
              </w:rPr>
            </w:r>
            <w:r>
              <w:rPr>
                <w:noProof/>
                <w:webHidden/>
              </w:rPr>
              <w:fldChar w:fldCharType="separate"/>
            </w:r>
            <w:r w:rsidR="00D53F88">
              <w:rPr>
                <w:noProof/>
                <w:webHidden/>
              </w:rPr>
              <w:t>7</w:t>
            </w:r>
            <w:r>
              <w:rPr>
                <w:noProof/>
                <w:webHidden/>
              </w:rPr>
              <w:fldChar w:fldCharType="end"/>
            </w:r>
          </w:hyperlink>
        </w:p>
        <w:p w14:paraId="71D3D8EE" w14:textId="2E3A4A9D"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101" w:history="1">
            <w:r w:rsidRPr="002E1C0A">
              <w:rPr>
                <w:rStyle w:val="Hyperlink"/>
                <w:b/>
                <w:bCs/>
                <w:noProof/>
              </w:rPr>
              <w:t>Make-Up Classes</w:t>
            </w:r>
            <w:r>
              <w:rPr>
                <w:noProof/>
                <w:webHidden/>
              </w:rPr>
              <w:tab/>
            </w:r>
            <w:r>
              <w:rPr>
                <w:noProof/>
                <w:webHidden/>
              </w:rPr>
              <w:fldChar w:fldCharType="begin"/>
            </w:r>
            <w:r>
              <w:rPr>
                <w:noProof/>
                <w:webHidden/>
              </w:rPr>
              <w:instrText xml:space="preserve"> PAGEREF _Toc209429101 \h </w:instrText>
            </w:r>
            <w:r>
              <w:rPr>
                <w:noProof/>
                <w:webHidden/>
              </w:rPr>
            </w:r>
            <w:r>
              <w:rPr>
                <w:noProof/>
                <w:webHidden/>
              </w:rPr>
              <w:fldChar w:fldCharType="separate"/>
            </w:r>
            <w:r w:rsidR="00D53F88">
              <w:rPr>
                <w:noProof/>
                <w:webHidden/>
              </w:rPr>
              <w:t>7</w:t>
            </w:r>
            <w:r>
              <w:rPr>
                <w:noProof/>
                <w:webHidden/>
              </w:rPr>
              <w:fldChar w:fldCharType="end"/>
            </w:r>
          </w:hyperlink>
        </w:p>
        <w:p w14:paraId="67362895" w14:textId="67C0A068"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102" w:history="1">
            <w:r w:rsidRPr="002E1C0A">
              <w:rPr>
                <w:rStyle w:val="Hyperlink"/>
                <w:b/>
                <w:bCs/>
                <w:noProof/>
              </w:rPr>
              <w:t>Warning System Policy for PY Program Exclusion</w:t>
            </w:r>
            <w:r>
              <w:rPr>
                <w:noProof/>
                <w:webHidden/>
              </w:rPr>
              <w:tab/>
            </w:r>
            <w:r>
              <w:rPr>
                <w:noProof/>
                <w:webHidden/>
              </w:rPr>
              <w:fldChar w:fldCharType="begin"/>
            </w:r>
            <w:r>
              <w:rPr>
                <w:noProof/>
                <w:webHidden/>
              </w:rPr>
              <w:instrText xml:space="preserve"> PAGEREF _Toc209429102 \h </w:instrText>
            </w:r>
            <w:r>
              <w:rPr>
                <w:noProof/>
                <w:webHidden/>
              </w:rPr>
            </w:r>
            <w:r>
              <w:rPr>
                <w:noProof/>
                <w:webHidden/>
              </w:rPr>
              <w:fldChar w:fldCharType="separate"/>
            </w:r>
            <w:r w:rsidR="00D53F88">
              <w:rPr>
                <w:noProof/>
                <w:webHidden/>
              </w:rPr>
              <w:t>8</w:t>
            </w:r>
            <w:r>
              <w:rPr>
                <w:noProof/>
                <w:webHidden/>
              </w:rPr>
              <w:fldChar w:fldCharType="end"/>
            </w:r>
          </w:hyperlink>
        </w:p>
        <w:p w14:paraId="23BFBB5D" w14:textId="3DCE64B4"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103" w:history="1">
            <w:r w:rsidRPr="002E1C0A">
              <w:rPr>
                <w:rStyle w:val="Hyperlink"/>
                <w:b/>
                <w:bCs/>
                <w:noProof/>
              </w:rPr>
              <w:t>Warning Levels</w:t>
            </w:r>
            <w:r>
              <w:rPr>
                <w:noProof/>
                <w:webHidden/>
              </w:rPr>
              <w:tab/>
            </w:r>
            <w:r>
              <w:rPr>
                <w:noProof/>
                <w:webHidden/>
              </w:rPr>
              <w:fldChar w:fldCharType="begin"/>
            </w:r>
            <w:r>
              <w:rPr>
                <w:noProof/>
                <w:webHidden/>
              </w:rPr>
              <w:instrText xml:space="preserve"> PAGEREF _Toc209429103 \h </w:instrText>
            </w:r>
            <w:r>
              <w:rPr>
                <w:noProof/>
                <w:webHidden/>
              </w:rPr>
            </w:r>
            <w:r>
              <w:rPr>
                <w:noProof/>
                <w:webHidden/>
              </w:rPr>
              <w:fldChar w:fldCharType="separate"/>
            </w:r>
            <w:r w:rsidR="00D53F88">
              <w:rPr>
                <w:noProof/>
                <w:webHidden/>
              </w:rPr>
              <w:t>8</w:t>
            </w:r>
            <w:r>
              <w:rPr>
                <w:noProof/>
                <w:webHidden/>
              </w:rPr>
              <w:fldChar w:fldCharType="end"/>
            </w:r>
          </w:hyperlink>
        </w:p>
        <w:p w14:paraId="0D83B375" w14:textId="64DC92CF"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104" w:history="1">
            <w:r w:rsidRPr="002E1C0A">
              <w:rPr>
                <w:rStyle w:val="Hyperlink"/>
                <w:b/>
                <w:bCs/>
                <w:noProof/>
              </w:rPr>
              <w:t>Appeals</w:t>
            </w:r>
            <w:r>
              <w:rPr>
                <w:noProof/>
                <w:webHidden/>
              </w:rPr>
              <w:tab/>
            </w:r>
            <w:r>
              <w:rPr>
                <w:noProof/>
                <w:webHidden/>
              </w:rPr>
              <w:fldChar w:fldCharType="begin"/>
            </w:r>
            <w:r>
              <w:rPr>
                <w:noProof/>
                <w:webHidden/>
              </w:rPr>
              <w:instrText xml:space="preserve"> PAGEREF _Toc209429104 \h </w:instrText>
            </w:r>
            <w:r>
              <w:rPr>
                <w:noProof/>
                <w:webHidden/>
              </w:rPr>
            </w:r>
            <w:r>
              <w:rPr>
                <w:noProof/>
                <w:webHidden/>
              </w:rPr>
              <w:fldChar w:fldCharType="separate"/>
            </w:r>
            <w:r w:rsidR="00D53F88">
              <w:rPr>
                <w:noProof/>
                <w:webHidden/>
              </w:rPr>
              <w:t>9</w:t>
            </w:r>
            <w:r>
              <w:rPr>
                <w:noProof/>
                <w:webHidden/>
              </w:rPr>
              <w:fldChar w:fldCharType="end"/>
            </w:r>
          </w:hyperlink>
        </w:p>
        <w:p w14:paraId="10884CB9" w14:textId="795239C7" w:rsidR="002E4DBD" w:rsidRDefault="002E4DBD">
          <w:pPr>
            <w:pStyle w:val="TOC1"/>
            <w:tabs>
              <w:tab w:val="left" w:pos="720"/>
              <w:tab w:val="right" w:leader="dot" w:pos="9771"/>
            </w:tabs>
            <w:rPr>
              <w:rFonts w:asciiTheme="minorHAnsi" w:eastAsiaTheme="minorEastAsia" w:hAnsiTheme="minorHAnsi"/>
              <w:noProof/>
              <w:kern w:val="2"/>
              <w:sz w:val="24"/>
              <w:szCs w:val="24"/>
              <w:lang w:eastAsia="en-AU"/>
              <w14:ligatures w14:val="standardContextual"/>
            </w:rPr>
          </w:pPr>
          <w:hyperlink w:anchor="_Toc209429105" w:history="1">
            <w:r w:rsidRPr="002E1C0A">
              <w:rPr>
                <w:rStyle w:val="Hyperlink"/>
                <w:b/>
                <w:bCs/>
                <w:noProof/>
              </w:rPr>
              <w:t>8.</w:t>
            </w:r>
            <w:r>
              <w:rPr>
                <w:rFonts w:asciiTheme="minorHAnsi" w:eastAsiaTheme="minorEastAsia" w:hAnsiTheme="minorHAnsi"/>
                <w:noProof/>
                <w:kern w:val="2"/>
                <w:sz w:val="24"/>
                <w:szCs w:val="24"/>
                <w:lang w:eastAsia="en-AU"/>
                <w14:ligatures w14:val="standardContextual"/>
              </w:rPr>
              <w:tab/>
            </w:r>
            <w:r w:rsidRPr="002E1C0A">
              <w:rPr>
                <w:rStyle w:val="Hyperlink"/>
                <w:b/>
                <w:bCs/>
                <w:noProof/>
              </w:rPr>
              <w:t>PROGRAM PROCESS</w:t>
            </w:r>
            <w:r>
              <w:rPr>
                <w:noProof/>
                <w:webHidden/>
              </w:rPr>
              <w:tab/>
            </w:r>
            <w:r>
              <w:rPr>
                <w:noProof/>
                <w:webHidden/>
              </w:rPr>
              <w:fldChar w:fldCharType="begin"/>
            </w:r>
            <w:r>
              <w:rPr>
                <w:noProof/>
                <w:webHidden/>
              </w:rPr>
              <w:instrText xml:space="preserve"> PAGEREF _Toc209429105 \h </w:instrText>
            </w:r>
            <w:r>
              <w:rPr>
                <w:noProof/>
                <w:webHidden/>
              </w:rPr>
            </w:r>
            <w:r>
              <w:rPr>
                <w:noProof/>
                <w:webHidden/>
              </w:rPr>
              <w:fldChar w:fldCharType="separate"/>
            </w:r>
            <w:r w:rsidR="00D53F88">
              <w:rPr>
                <w:noProof/>
                <w:webHidden/>
              </w:rPr>
              <w:t>10</w:t>
            </w:r>
            <w:r>
              <w:rPr>
                <w:noProof/>
                <w:webHidden/>
              </w:rPr>
              <w:fldChar w:fldCharType="end"/>
            </w:r>
          </w:hyperlink>
        </w:p>
        <w:p w14:paraId="57F4180B" w14:textId="4FDA37C4" w:rsidR="002E4DBD" w:rsidRDefault="002E4DBD">
          <w:pPr>
            <w:pStyle w:val="TOC1"/>
            <w:tabs>
              <w:tab w:val="left" w:pos="720"/>
              <w:tab w:val="right" w:leader="dot" w:pos="9771"/>
            </w:tabs>
            <w:rPr>
              <w:rFonts w:asciiTheme="minorHAnsi" w:eastAsiaTheme="minorEastAsia" w:hAnsiTheme="minorHAnsi"/>
              <w:noProof/>
              <w:kern w:val="2"/>
              <w:sz w:val="24"/>
              <w:szCs w:val="24"/>
              <w:lang w:eastAsia="en-AU"/>
              <w14:ligatures w14:val="standardContextual"/>
            </w:rPr>
          </w:pPr>
          <w:hyperlink w:anchor="_Toc209429106" w:history="1">
            <w:r w:rsidRPr="002E1C0A">
              <w:rPr>
                <w:rStyle w:val="Hyperlink"/>
                <w:b/>
                <w:bCs/>
                <w:noProof/>
              </w:rPr>
              <w:t>9.</w:t>
            </w:r>
            <w:r>
              <w:rPr>
                <w:rFonts w:asciiTheme="minorHAnsi" w:eastAsiaTheme="minorEastAsia" w:hAnsiTheme="minorHAnsi"/>
                <w:noProof/>
                <w:kern w:val="2"/>
                <w:sz w:val="24"/>
                <w:szCs w:val="24"/>
                <w:lang w:eastAsia="en-AU"/>
                <w14:ligatures w14:val="standardContextual"/>
              </w:rPr>
              <w:tab/>
            </w:r>
            <w:r w:rsidRPr="002E1C0A">
              <w:rPr>
                <w:rStyle w:val="Hyperlink"/>
                <w:b/>
                <w:bCs/>
                <w:noProof/>
              </w:rPr>
              <w:t>INTERNSHIP FRAMEWORK</w:t>
            </w:r>
            <w:r>
              <w:rPr>
                <w:noProof/>
                <w:webHidden/>
              </w:rPr>
              <w:tab/>
            </w:r>
            <w:r>
              <w:rPr>
                <w:noProof/>
                <w:webHidden/>
              </w:rPr>
              <w:fldChar w:fldCharType="begin"/>
            </w:r>
            <w:r>
              <w:rPr>
                <w:noProof/>
                <w:webHidden/>
              </w:rPr>
              <w:instrText xml:space="preserve"> PAGEREF _Toc209429106 \h </w:instrText>
            </w:r>
            <w:r>
              <w:rPr>
                <w:noProof/>
                <w:webHidden/>
              </w:rPr>
            </w:r>
            <w:r>
              <w:rPr>
                <w:noProof/>
                <w:webHidden/>
              </w:rPr>
              <w:fldChar w:fldCharType="separate"/>
            </w:r>
            <w:r w:rsidR="00D53F88">
              <w:rPr>
                <w:noProof/>
                <w:webHidden/>
              </w:rPr>
              <w:t>11</w:t>
            </w:r>
            <w:r>
              <w:rPr>
                <w:noProof/>
                <w:webHidden/>
              </w:rPr>
              <w:fldChar w:fldCharType="end"/>
            </w:r>
          </w:hyperlink>
        </w:p>
        <w:p w14:paraId="4A4B38BC" w14:textId="12F3C55F"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107" w:history="1">
            <w:r w:rsidRPr="002E1C0A">
              <w:rPr>
                <w:rStyle w:val="Hyperlink"/>
                <w:b/>
                <w:bCs/>
                <w:noProof/>
                <w:lang w:val="en-AU"/>
              </w:rPr>
              <w:t>Engineering Areas of Practice</w:t>
            </w:r>
            <w:r>
              <w:rPr>
                <w:noProof/>
                <w:webHidden/>
              </w:rPr>
              <w:tab/>
            </w:r>
            <w:r>
              <w:rPr>
                <w:noProof/>
                <w:webHidden/>
              </w:rPr>
              <w:fldChar w:fldCharType="begin"/>
            </w:r>
            <w:r>
              <w:rPr>
                <w:noProof/>
                <w:webHidden/>
              </w:rPr>
              <w:instrText xml:space="preserve"> PAGEREF _Toc209429107 \h </w:instrText>
            </w:r>
            <w:r>
              <w:rPr>
                <w:noProof/>
                <w:webHidden/>
              </w:rPr>
            </w:r>
            <w:r>
              <w:rPr>
                <w:noProof/>
                <w:webHidden/>
              </w:rPr>
              <w:fldChar w:fldCharType="separate"/>
            </w:r>
            <w:r w:rsidR="00D53F88">
              <w:rPr>
                <w:noProof/>
                <w:webHidden/>
              </w:rPr>
              <w:t>11</w:t>
            </w:r>
            <w:r>
              <w:rPr>
                <w:noProof/>
                <w:webHidden/>
              </w:rPr>
              <w:fldChar w:fldCharType="end"/>
            </w:r>
          </w:hyperlink>
        </w:p>
        <w:p w14:paraId="42CC5CDD" w14:textId="488E641C"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108" w:history="1">
            <w:r w:rsidRPr="002E1C0A">
              <w:rPr>
                <w:rStyle w:val="Hyperlink"/>
                <w:b/>
                <w:bCs/>
                <w:noProof/>
                <w:lang w:val="en-AU"/>
              </w:rPr>
              <w:t>Internship Placement</w:t>
            </w:r>
            <w:r>
              <w:rPr>
                <w:noProof/>
                <w:webHidden/>
              </w:rPr>
              <w:tab/>
            </w:r>
            <w:r>
              <w:rPr>
                <w:noProof/>
                <w:webHidden/>
              </w:rPr>
              <w:fldChar w:fldCharType="begin"/>
            </w:r>
            <w:r>
              <w:rPr>
                <w:noProof/>
                <w:webHidden/>
              </w:rPr>
              <w:instrText xml:space="preserve"> PAGEREF _Toc209429108 \h </w:instrText>
            </w:r>
            <w:r>
              <w:rPr>
                <w:noProof/>
                <w:webHidden/>
              </w:rPr>
            </w:r>
            <w:r>
              <w:rPr>
                <w:noProof/>
                <w:webHidden/>
              </w:rPr>
              <w:fldChar w:fldCharType="separate"/>
            </w:r>
            <w:r w:rsidR="00D53F88">
              <w:rPr>
                <w:noProof/>
                <w:webHidden/>
              </w:rPr>
              <w:t>12</w:t>
            </w:r>
            <w:r>
              <w:rPr>
                <w:noProof/>
                <w:webHidden/>
              </w:rPr>
              <w:fldChar w:fldCharType="end"/>
            </w:r>
          </w:hyperlink>
        </w:p>
        <w:p w14:paraId="35135896" w14:textId="2B131B76"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109" w:history="1">
            <w:r w:rsidRPr="002E1C0A">
              <w:rPr>
                <w:rStyle w:val="Hyperlink"/>
                <w:b/>
                <w:bCs/>
                <w:noProof/>
                <w:lang w:val="en-AU"/>
              </w:rPr>
              <w:t>Internship Documentation – Albright Institute of Business</w:t>
            </w:r>
            <w:r>
              <w:rPr>
                <w:noProof/>
                <w:webHidden/>
              </w:rPr>
              <w:tab/>
            </w:r>
            <w:r>
              <w:rPr>
                <w:noProof/>
                <w:webHidden/>
              </w:rPr>
              <w:fldChar w:fldCharType="begin"/>
            </w:r>
            <w:r>
              <w:rPr>
                <w:noProof/>
                <w:webHidden/>
              </w:rPr>
              <w:instrText xml:space="preserve"> PAGEREF _Toc209429109 \h </w:instrText>
            </w:r>
            <w:r>
              <w:rPr>
                <w:noProof/>
                <w:webHidden/>
              </w:rPr>
            </w:r>
            <w:r>
              <w:rPr>
                <w:noProof/>
                <w:webHidden/>
              </w:rPr>
              <w:fldChar w:fldCharType="separate"/>
            </w:r>
            <w:r w:rsidR="00D53F88">
              <w:rPr>
                <w:noProof/>
                <w:webHidden/>
              </w:rPr>
              <w:t>13</w:t>
            </w:r>
            <w:r>
              <w:rPr>
                <w:noProof/>
                <w:webHidden/>
              </w:rPr>
              <w:fldChar w:fldCharType="end"/>
            </w:r>
          </w:hyperlink>
        </w:p>
        <w:p w14:paraId="423A4537" w14:textId="0D22862A" w:rsidR="002E4DBD" w:rsidRDefault="002E4DBD">
          <w:pPr>
            <w:pStyle w:val="TOC3"/>
            <w:tabs>
              <w:tab w:val="right" w:leader="dot" w:pos="9771"/>
            </w:tabs>
            <w:rPr>
              <w:rFonts w:asciiTheme="minorHAnsi" w:hAnsiTheme="minorHAnsi"/>
              <w:noProof/>
              <w:kern w:val="2"/>
              <w:sz w:val="24"/>
              <w:lang w:val="en-AU" w:eastAsia="en-AU"/>
              <w14:ligatures w14:val="standardContextual"/>
            </w:rPr>
          </w:pPr>
          <w:hyperlink w:anchor="_Toc209429110" w:history="1">
            <w:r w:rsidRPr="002E1C0A">
              <w:rPr>
                <w:rStyle w:val="Hyperlink"/>
                <w:b/>
                <w:bCs/>
                <w:noProof/>
                <w:lang w:val="en-AU"/>
              </w:rPr>
              <w:t>Participant Conduct during Internship</w:t>
            </w:r>
            <w:r>
              <w:rPr>
                <w:noProof/>
                <w:webHidden/>
              </w:rPr>
              <w:tab/>
            </w:r>
            <w:r>
              <w:rPr>
                <w:noProof/>
                <w:webHidden/>
              </w:rPr>
              <w:fldChar w:fldCharType="begin"/>
            </w:r>
            <w:r>
              <w:rPr>
                <w:noProof/>
                <w:webHidden/>
              </w:rPr>
              <w:instrText xml:space="preserve"> PAGEREF _Toc209429110 \h </w:instrText>
            </w:r>
            <w:r>
              <w:rPr>
                <w:noProof/>
                <w:webHidden/>
              </w:rPr>
            </w:r>
            <w:r>
              <w:rPr>
                <w:noProof/>
                <w:webHidden/>
              </w:rPr>
              <w:fldChar w:fldCharType="separate"/>
            </w:r>
            <w:r w:rsidR="00D53F88">
              <w:rPr>
                <w:noProof/>
                <w:webHidden/>
              </w:rPr>
              <w:t>14</w:t>
            </w:r>
            <w:r>
              <w:rPr>
                <w:noProof/>
                <w:webHidden/>
              </w:rPr>
              <w:fldChar w:fldCharType="end"/>
            </w:r>
          </w:hyperlink>
        </w:p>
        <w:p w14:paraId="507E16D6" w14:textId="0BE601CA" w:rsidR="002E4DBD" w:rsidRDefault="002E4DBD">
          <w:pPr>
            <w:pStyle w:val="TOC1"/>
            <w:tabs>
              <w:tab w:val="left" w:pos="720"/>
              <w:tab w:val="right" w:leader="dot" w:pos="9771"/>
            </w:tabs>
            <w:rPr>
              <w:rFonts w:asciiTheme="minorHAnsi" w:eastAsiaTheme="minorEastAsia" w:hAnsiTheme="minorHAnsi"/>
              <w:noProof/>
              <w:kern w:val="2"/>
              <w:sz w:val="24"/>
              <w:szCs w:val="24"/>
              <w:lang w:eastAsia="en-AU"/>
              <w14:ligatures w14:val="standardContextual"/>
            </w:rPr>
          </w:pPr>
          <w:hyperlink w:anchor="_Toc209429111" w:history="1">
            <w:r w:rsidRPr="002E1C0A">
              <w:rPr>
                <w:rStyle w:val="Hyperlink"/>
                <w:b/>
                <w:bCs/>
                <w:noProof/>
              </w:rPr>
              <w:t>10.</w:t>
            </w:r>
            <w:r>
              <w:rPr>
                <w:rFonts w:asciiTheme="minorHAnsi" w:eastAsiaTheme="minorEastAsia" w:hAnsiTheme="minorHAnsi"/>
                <w:noProof/>
                <w:kern w:val="2"/>
                <w:sz w:val="24"/>
                <w:szCs w:val="24"/>
                <w:lang w:eastAsia="en-AU"/>
                <w14:ligatures w14:val="standardContextual"/>
              </w:rPr>
              <w:tab/>
            </w:r>
            <w:r w:rsidRPr="002E1C0A">
              <w:rPr>
                <w:rStyle w:val="Hyperlink"/>
                <w:b/>
                <w:bCs/>
                <w:noProof/>
              </w:rPr>
              <w:t>IMPLEMENTATION AND RESPONSIBILITY</w:t>
            </w:r>
            <w:r>
              <w:rPr>
                <w:noProof/>
                <w:webHidden/>
              </w:rPr>
              <w:tab/>
            </w:r>
            <w:r>
              <w:rPr>
                <w:noProof/>
                <w:webHidden/>
              </w:rPr>
              <w:fldChar w:fldCharType="begin"/>
            </w:r>
            <w:r>
              <w:rPr>
                <w:noProof/>
                <w:webHidden/>
              </w:rPr>
              <w:instrText xml:space="preserve"> PAGEREF _Toc209429111 \h </w:instrText>
            </w:r>
            <w:r>
              <w:rPr>
                <w:noProof/>
                <w:webHidden/>
              </w:rPr>
            </w:r>
            <w:r>
              <w:rPr>
                <w:noProof/>
                <w:webHidden/>
              </w:rPr>
              <w:fldChar w:fldCharType="separate"/>
            </w:r>
            <w:r w:rsidR="00D53F88">
              <w:rPr>
                <w:noProof/>
                <w:webHidden/>
              </w:rPr>
              <w:t>15</w:t>
            </w:r>
            <w:r>
              <w:rPr>
                <w:noProof/>
                <w:webHidden/>
              </w:rPr>
              <w:fldChar w:fldCharType="end"/>
            </w:r>
          </w:hyperlink>
        </w:p>
        <w:p w14:paraId="103EF101" w14:textId="3F5B1CB1" w:rsidR="002E4DBD" w:rsidRDefault="002E4DBD">
          <w:pPr>
            <w:pStyle w:val="TOC1"/>
            <w:tabs>
              <w:tab w:val="left" w:pos="720"/>
              <w:tab w:val="right" w:leader="dot" w:pos="9771"/>
            </w:tabs>
            <w:rPr>
              <w:rFonts w:asciiTheme="minorHAnsi" w:eastAsiaTheme="minorEastAsia" w:hAnsiTheme="minorHAnsi"/>
              <w:noProof/>
              <w:kern w:val="2"/>
              <w:sz w:val="24"/>
              <w:szCs w:val="24"/>
              <w:lang w:eastAsia="en-AU"/>
              <w14:ligatures w14:val="standardContextual"/>
            </w:rPr>
          </w:pPr>
          <w:hyperlink w:anchor="_Toc209429112" w:history="1">
            <w:r w:rsidRPr="002E1C0A">
              <w:rPr>
                <w:rStyle w:val="Hyperlink"/>
                <w:b/>
                <w:bCs/>
                <w:noProof/>
              </w:rPr>
              <w:t>11.</w:t>
            </w:r>
            <w:r>
              <w:rPr>
                <w:rFonts w:asciiTheme="minorHAnsi" w:eastAsiaTheme="minorEastAsia" w:hAnsiTheme="minorHAnsi"/>
                <w:noProof/>
                <w:kern w:val="2"/>
                <w:sz w:val="24"/>
                <w:szCs w:val="24"/>
                <w:lang w:eastAsia="en-AU"/>
                <w14:ligatures w14:val="standardContextual"/>
              </w:rPr>
              <w:tab/>
            </w:r>
            <w:r w:rsidRPr="002E1C0A">
              <w:rPr>
                <w:rStyle w:val="Hyperlink"/>
                <w:b/>
                <w:bCs/>
                <w:noProof/>
              </w:rPr>
              <w:t>RELATED DOCUMENTS</w:t>
            </w:r>
            <w:r>
              <w:rPr>
                <w:noProof/>
                <w:webHidden/>
              </w:rPr>
              <w:tab/>
            </w:r>
            <w:r>
              <w:rPr>
                <w:noProof/>
                <w:webHidden/>
              </w:rPr>
              <w:fldChar w:fldCharType="begin"/>
            </w:r>
            <w:r>
              <w:rPr>
                <w:noProof/>
                <w:webHidden/>
              </w:rPr>
              <w:instrText xml:space="preserve"> PAGEREF _Toc209429112 \h </w:instrText>
            </w:r>
            <w:r>
              <w:rPr>
                <w:noProof/>
                <w:webHidden/>
              </w:rPr>
            </w:r>
            <w:r>
              <w:rPr>
                <w:noProof/>
                <w:webHidden/>
              </w:rPr>
              <w:fldChar w:fldCharType="separate"/>
            </w:r>
            <w:r w:rsidR="00D53F88">
              <w:rPr>
                <w:noProof/>
                <w:webHidden/>
              </w:rPr>
              <w:t>15</w:t>
            </w:r>
            <w:r>
              <w:rPr>
                <w:noProof/>
                <w:webHidden/>
              </w:rPr>
              <w:fldChar w:fldCharType="end"/>
            </w:r>
          </w:hyperlink>
        </w:p>
        <w:p w14:paraId="52A5765F" w14:textId="59B05DFF" w:rsidR="00E57A0B" w:rsidRDefault="00E57A0B" w:rsidP="001019DA">
          <w:pPr>
            <w:jc w:val="both"/>
          </w:pPr>
          <w:r>
            <w:rPr>
              <w:b/>
              <w:bCs/>
              <w:noProof/>
            </w:rPr>
            <w:fldChar w:fldCharType="end"/>
          </w:r>
        </w:p>
      </w:sdtContent>
    </w:sdt>
    <w:p w14:paraId="140D8731" w14:textId="77777777" w:rsidR="00E57A0B" w:rsidRDefault="00E57A0B" w:rsidP="001019DA">
      <w:pPr>
        <w:jc w:val="both"/>
      </w:pPr>
    </w:p>
    <w:p w14:paraId="7194DBDC" w14:textId="1C46CF49" w:rsidR="00CA1124" w:rsidRPr="007D001A" w:rsidRDefault="00F370FB" w:rsidP="001019DA">
      <w:pPr>
        <w:pStyle w:val="Heading1"/>
        <w:numPr>
          <w:ilvl w:val="0"/>
          <w:numId w:val="11"/>
        </w:numPr>
        <w:jc w:val="both"/>
        <w:rPr>
          <w:b/>
          <w:bCs/>
        </w:rPr>
      </w:pPr>
      <w:bookmarkStart w:id="2" w:name="_Toc191046618"/>
      <w:bookmarkStart w:id="3" w:name="_Toc209429077"/>
      <w:bookmarkEnd w:id="0"/>
      <w:bookmarkEnd w:id="1"/>
      <w:r w:rsidRPr="00E57A0B">
        <w:rPr>
          <w:b/>
          <w:bCs/>
        </w:rPr>
        <w:lastRenderedPageBreak/>
        <w:t>POLICY</w:t>
      </w:r>
      <w:bookmarkEnd w:id="2"/>
      <w:bookmarkEnd w:id="3"/>
    </w:p>
    <w:p w14:paraId="6AFA4E07" w14:textId="5E79CDB6" w:rsidR="00F370FB" w:rsidRPr="00F370FB" w:rsidRDefault="00F370FB" w:rsidP="001019DA">
      <w:pPr>
        <w:jc w:val="both"/>
        <w:rPr>
          <w:rFonts w:cs="Arial"/>
          <w:sz w:val="22"/>
          <w:szCs w:val="22"/>
        </w:rPr>
      </w:pPr>
      <w:r w:rsidRPr="122622FD">
        <w:rPr>
          <w:rFonts w:cs="Arial"/>
          <w:sz w:val="22"/>
          <w:szCs w:val="22"/>
        </w:rPr>
        <w:t xml:space="preserve">ANIT Australia Pty Ltd T/A Albright Institute of Business and Language </w:t>
      </w:r>
      <w:r w:rsidR="00676BEF" w:rsidRPr="122622FD">
        <w:rPr>
          <w:rFonts w:cs="Arial"/>
          <w:sz w:val="22"/>
          <w:szCs w:val="22"/>
        </w:rPr>
        <w:t xml:space="preserve">will </w:t>
      </w:r>
      <w:r w:rsidR="00143B19" w:rsidRPr="122622FD">
        <w:rPr>
          <w:rFonts w:cs="Arial"/>
          <w:sz w:val="22"/>
          <w:szCs w:val="22"/>
        </w:rPr>
        <w:t>follow a f</w:t>
      </w:r>
      <w:r w:rsidR="24E07FF4" w:rsidRPr="122622FD">
        <w:rPr>
          <w:rFonts w:cs="Arial"/>
          <w:sz w:val="22"/>
          <w:szCs w:val="22"/>
        </w:rPr>
        <w:t xml:space="preserve">air, equitable framework and procedure for </w:t>
      </w:r>
      <w:r w:rsidR="00052A2B">
        <w:rPr>
          <w:rFonts w:cs="Arial"/>
          <w:sz w:val="22"/>
          <w:szCs w:val="22"/>
        </w:rPr>
        <w:t>the Professional Year</w:t>
      </w:r>
      <w:r w:rsidR="24E07FF4" w:rsidRPr="122622FD">
        <w:rPr>
          <w:rFonts w:cs="Arial"/>
          <w:sz w:val="22"/>
          <w:szCs w:val="22"/>
        </w:rPr>
        <w:t xml:space="preserve"> </w:t>
      </w:r>
      <w:r w:rsidR="00052A2B">
        <w:rPr>
          <w:rFonts w:cs="Arial"/>
          <w:sz w:val="22"/>
          <w:szCs w:val="22"/>
        </w:rPr>
        <w:t>P</w:t>
      </w:r>
      <w:r w:rsidR="24E07FF4" w:rsidRPr="122622FD">
        <w:rPr>
          <w:rFonts w:cs="Arial"/>
          <w:sz w:val="22"/>
          <w:szCs w:val="22"/>
        </w:rPr>
        <w:t>rograms</w:t>
      </w:r>
      <w:r w:rsidR="00143B19" w:rsidRPr="122622FD">
        <w:rPr>
          <w:rFonts w:cs="Arial"/>
          <w:sz w:val="22"/>
          <w:szCs w:val="22"/>
        </w:rPr>
        <w:t xml:space="preserve"> to ensure professional representation</w:t>
      </w:r>
      <w:r w:rsidR="663B9AC2" w:rsidRPr="122622FD">
        <w:rPr>
          <w:rFonts w:cs="Arial"/>
          <w:sz w:val="22"/>
          <w:szCs w:val="22"/>
        </w:rPr>
        <w:t xml:space="preserve"> of students</w:t>
      </w:r>
      <w:r w:rsidR="00582E68">
        <w:rPr>
          <w:rFonts w:cs="Arial"/>
          <w:sz w:val="22"/>
          <w:szCs w:val="22"/>
        </w:rPr>
        <w:t xml:space="preserve"> recruited, modules delivered</w:t>
      </w:r>
      <w:r w:rsidR="663B9AC2" w:rsidRPr="122622FD">
        <w:rPr>
          <w:rFonts w:cs="Arial"/>
          <w:sz w:val="22"/>
          <w:szCs w:val="22"/>
        </w:rPr>
        <w:t xml:space="preserve"> and host compani</w:t>
      </w:r>
      <w:r w:rsidR="00582E68">
        <w:rPr>
          <w:rFonts w:cs="Arial"/>
          <w:sz w:val="22"/>
          <w:szCs w:val="22"/>
        </w:rPr>
        <w:t xml:space="preserve">es engaged </w:t>
      </w:r>
      <w:r w:rsidR="7866F9AA" w:rsidRPr="122622FD">
        <w:rPr>
          <w:rFonts w:cs="Arial"/>
          <w:sz w:val="22"/>
          <w:szCs w:val="22"/>
        </w:rPr>
        <w:t xml:space="preserve">to uphold </w:t>
      </w:r>
      <w:r w:rsidR="00143B19" w:rsidRPr="122622FD">
        <w:rPr>
          <w:rFonts w:cs="Arial"/>
          <w:sz w:val="22"/>
          <w:szCs w:val="22"/>
        </w:rPr>
        <w:t xml:space="preserve">Albright Institute </w:t>
      </w:r>
      <w:r w:rsidR="4EE06482" w:rsidRPr="122622FD">
        <w:rPr>
          <w:rFonts w:cs="Arial"/>
          <w:sz w:val="22"/>
          <w:szCs w:val="22"/>
        </w:rPr>
        <w:t xml:space="preserve">of Business and Language </w:t>
      </w:r>
      <w:r w:rsidR="00143B19" w:rsidRPr="122622FD">
        <w:rPr>
          <w:rFonts w:cs="Arial"/>
          <w:sz w:val="22"/>
          <w:szCs w:val="22"/>
        </w:rPr>
        <w:t>with the highest integrity</w:t>
      </w:r>
      <w:r w:rsidR="00582E68">
        <w:rPr>
          <w:rFonts w:cs="Arial"/>
          <w:sz w:val="22"/>
          <w:szCs w:val="22"/>
        </w:rPr>
        <w:t xml:space="preserve"> as a Professional Year Provider</w:t>
      </w:r>
    </w:p>
    <w:p w14:paraId="769D0D3C" w14:textId="16E132DA" w:rsidR="00CA1124" w:rsidRPr="007D001A" w:rsidRDefault="00F370FB" w:rsidP="001019DA">
      <w:pPr>
        <w:pStyle w:val="Heading1"/>
        <w:numPr>
          <w:ilvl w:val="0"/>
          <w:numId w:val="11"/>
        </w:numPr>
        <w:jc w:val="both"/>
        <w:rPr>
          <w:b/>
          <w:bCs/>
        </w:rPr>
      </w:pPr>
      <w:bookmarkStart w:id="4" w:name="_Toc191046619"/>
      <w:bookmarkStart w:id="5" w:name="_Toc209429078"/>
      <w:r w:rsidRPr="00E57A0B">
        <w:rPr>
          <w:b/>
          <w:bCs/>
        </w:rPr>
        <w:t>PURPOSE</w:t>
      </w:r>
      <w:bookmarkEnd w:id="4"/>
      <w:bookmarkEnd w:id="5"/>
    </w:p>
    <w:p w14:paraId="04F70427" w14:textId="31035B1F" w:rsidR="00143B19" w:rsidRDefault="00143B19" w:rsidP="001019DA">
      <w:pPr>
        <w:jc w:val="both"/>
        <w:rPr>
          <w:rFonts w:cs="Arial"/>
          <w:sz w:val="22"/>
          <w:szCs w:val="22"/>
        </w:rPr>
      </w:pPr>
      <w:r w:rsidRPr="122622FD">
        <w:rPr>
          <w:rFonts w:cs="Arial"/>
          <w:sz w:val="22"/>
          <w:szCs w:val="22"/>
        </w:rPr>
        <w:t>This policy has been developed to support &amp; enhance Albright Institut</w:t>
      </w:r>
      <w:r w:rsidR="4EC1B67C" w:rsidRPr="122622FD">
        <w:rPr>
          <w:rFonts w:cs="Arial"/>
          <w:sz w:val="22"/>
          <w:szCs w:val="22"/>
        </w:rPr>
        <w:t xml:space="preserve">e of Business and Language </w:t>
      </w:r>
      <w:r w:rsidR="42616F21" w:rsidRPr="122622FD">
        <w:rPr>
          <w:rFonts w:cs="Arial"/>
          <w:sz w:val="22"/>
          <w:szCs w:val="22"/>
        </w:rPr>
        <w:t xml:space="preserve">in the </w:t>
      </w:r>
      <w:r w:rsidR="4EC1B67C" w:rsidRPr="122622FD">
        <w:rPr>
          <w:rFonts w:cs="Arial"/>
          <w:sz w:val="22"/>
          <w:szCs w:val="22"/>
        </w:rPr>
        <w:t xml:space="preserve">delivery of </w:t>
      </w:r>
      <w:r w:rsidR="00052A2B">
        <w:rPr>
          <w:rFonts w:cs="Arial"/>
          <w:sz w:val="22"/>
          <w:szCs w:val="22"/>
        </w:rPr>
        <w:t>the Professional Year</w:t>
      </w:r>
      <w:r w:rsidR="28CE4EF7" w:rsidRPr="122622FD">
        <w:rPr>
          <w:rFonts w:cs="Arial"/>
          <w:sz w:val="22"/>
          <w:szCs w:val="22"/>
        </w:rPr>
        <w:t xml:space="preserve"> Programs. </w:t>
      </w:r>
      <w:r w:rsidRPr="122622FD">
        <w:rPr>
          <w:rFonts w:cs="Arial"/>
          <w:sz w:val="22"/>
          <w:szCs w:val="22"/>
        </w:rPr>
        <w:t xml:space="preserve">  </w:t>
      </w:r>
    </w:p>
    <w:p w14:paraId="54CD245A" w14:textId="77777777" w:rsidR="00143B19" w:rsidRDefault="00143B19" w:rsidP="001019DA">
      <w:pPr>
        <w:jc w:val="both"/>
        <w:rPr>
          <w:rFonts w:cs="Arial"/>
          <w:sz w:val="22"/>
          <w:szCs w:val="22"/>
        </w:rPr>
      </w:pPr>
    </w:p>
    <w:p w14:paraId="4499E058" w14:textId="01D5B549" w:rsidR="00F370FB" w:rsidRDefault="00143B19" w:rsidP="001019DA">
      <w:pPr>
        <w:jc w:val="both"/>
        <w:rPr>
          <w:rFonts w:cs="Arial"/>
          <w:sz w:val="22"/>
          <w:szCs w:val="22"/>
        </w:rPr>
      </w:pPr>
      <w:r w:rsidRPr="122622FD">
        <w:rPr>
          <w:rFonts w:cs="Arial"/>
          <w:sz w:val="22"/>
          <w:szCs w:val="22"/>
        </w:rPr>
        <w:t xml:space="preserve">The policy provides a mechanism for monitoring </w:t>
      </w:r>
      <w:r w:rsidR="56C601E2" w:rsidRPr="122622FD">
        <w:rPr>
          <w:rFonts w:cs="Arial"/>
          <w:sz w:val="22"/>
          <w:szCs w:val="22"/>
        </w:rPr>
        <w:t xml:space="preserve">students </w:t>
      </w:r>
      <w:r w:rsidR="00582E68">
        <w:rPr>
          <w:rFonts w:cs="Arial"/>
          <w:sz w:val="22"/>
          <w:szCs w:val="22"/>
        </w:rPr>
        <w:t>recruited to</w:t>
      </w:r>
      <w:r w:rsidR="56C601E2" w:rsidRPr="122622FD">
        <w:rPr>
          <w:rFonts w:cs="Arial"/>
          <w:sz w:val="22"/>
          <w:szCs w:val="22"/>
        </w:rPr>
        <w:t xml:space="preserve"> </w:t>
      </w:r>
      <w:r w:rsidR="00052A2B">
        <w:rPr>
          <w:rFonts w:cs="Arial"/>
          <w:sz w:val="22"/>
          <w:szCs w:val="22"/>
        </w:rPr>
        <w:t xml:space="preserve">the Professional Year Program, </w:t>
      </w:r>
      <w:r w:rsidR="00582E68">
        <w:rPr>
          <w:rFonts w:cs="Arial"/>
          <w:sz w:val="22"/>
          <w:szCs w:val="22"/>
        </w:rPr>
        <w:t xml:space="preserve">class cohort management, </w:t>
      </w:r>
      <w:r w:rsidR="56C601E2" w:rsidRPr="122622FD">
        <w:rPr>
          <w:rFonts w:cs="Arial"/>
          <w:sz w:val="22"/>
          <w:szCs w:val="22"/>
        </w:rPr>
        <w:t>internships and host companies facilitating internships</w:t>
      </w:r>
      <w:r w:rsidRPr="122622FD">
        <w:rPr>
          <w:rFonts w:cs="Arial"/>
          <w:sz w:val="22"/>
          <w:szCs w:val="22"/>
        </w:rPr>
        <w:t xml:space="preserve">. This policy is in accordance with the </w:t>
      </w:r>
      <w:r w:rsidR="6459C960" w:rsidRPr="122622FD">
        <w:rPr>
          <w:rFonts w:cs="Arial"/>
          <w:sz w:val="22"/>
          <w:szCs w:val="22"/>
        </w:rPr>
        <w:t>Fair Work Act 2009, Professional Body Guidelines and conditions set by the Department of Home Affai</w:t>
      </w:r>
      <w:r w:rsidR="591202A0" w:rsidRPr="122622FD">
        <w:rPr>
          <w:rFonts w:cs="Arial"/>
          <w:sz w:val="22"/>
          <w:szCs w:val="22"/>
        </w:rPr>
        <w:t>rs (DHA)</w:t>
      </w:r>
      <w:r w:rsidR="00676BEF" w:rsidRPr="122622FD">
        <w:rPr>
          <w:rFonts w:cs="Arial"/>
          <w:sz w:val="22"/>
          <w:szCs w:val="22"/>
        </w:rPr>
        <w:t xml:space="preserve">. </w:t>
      </w:r>
    </w:p>
    <w:p w14:paraId="1231BE67" w14:textId="59EA3EC3" w:rsidR="00CA1124" w:rsidRPr="007D001A" w:rsidRDefault="00C176D6" w:rsidP="001019DA">
      <w:pPr>
        <w:pStyle w:val="Heading1"/>
        <w:numPr>
          <w:ilvl w:val="0"/>
          <w:numId w:val="11"/>
        </w:numPr>
        <w:jc w:val="both"/>
        <w:rPr>
          <w:b/>
          <w:bCs/>
        </w:rPr>
      </w:pPr>
      <w:bookmarkStart w:id="6" w:name="_Toc191046620"/>
      <w:bookmarkStart w:id="7" w:name="_Toc209429079"/>
      <w:r w:rsidRPr="00E57A0B">
        <w:rPr>
          <w:b/>
          <w:bCs/>
        </w:rPr>
        <w:t>SCOPE</w:t>
      </w:r>
      <w:bookmarkEnd w:id="6"/>
      <w:bookmarkEnd w:id="7"/>
    </w:p>
    <w:p w14:paraId="7D4557F2" w14:textId="14AE28FC" w:rsidR="00F370FB" w:rsidRDefault="00676BEF" w:rsidP="001019DA">
      <w:pPr>
        <w:jc w:val="both"/>
        <w:rPr>
          <w:rFonts w:cs="Arial"/>
          <w:sz w:val="22"/>
          <w:szCs w:val="22"/>
        </w:rPr>
      </w:pPr>
      <w:r w:rsidRPr="122622FD">
        <w:rPr>
          <w:rFonts w:cs="Arial"/>
          <w:sz w:val="22"/>
          <w:szCs w:val="22"/>
        </w:rPr>
        <w:t xml:space="preserve">This policy applies to all </w:t>
      </w:r>
      <w:r w:rsidR="4028AADD" w:rsidRPr="122622FD">
        <w:rPr>
          <w:rFonts w:cs="Arial"/>
          <w:sz w:val="22"/>
          <w:szCs w:val="22"/>
        </w:rPr>
        <w:t xml:space="preserve">participants enrolled in </w:t>
      </w:r>
      <w:r w:rsidR="31224A3C" w:rsidRPr="122622FD">
        <w:rPr>
          <w:rFonts w:cs="Arial"/>
          <w:sz w:val="22"/>
          <w:szCs w:val="22"/>
        </w:rPr>
        <w:t>the</w:t>
      </w:r>
      <w:r w:rsidR="4028AADD" w:rsidRPr="122622FD">
        <w:rPr>
          <w:rFonts w:cs="Arial"/>
          <w:sz w:val="22"/>
          <w:szCs w:val="22"/>
        </w:rPr>
        <w:t xml:space="preserve"> </w:t>
      </w:r>
      <w:r w:rsidR="008D3EF9" w:rsidRPr="122622FD">
        <w:rPr>
          <w:rFonts w:cs="Arial"/>
          <w:sz w:val="22"/>
          <w:szCs w:val="22"/>
        </w:rPr>
        <w:t>Albright Institute</w:t>
      </w:r>
      <w:r w:rsidR="1ACC9A9D" w:rsidRPr="122622FD">
        <w:rPr>
          <w:rFonts w:cs="Arial"/>
          <w:sz w:val="22"/>
          <w:szCs w:val="22"/>
        </w:rPr>
        <w:t xml:space="preserve"> of Business and Language </w:t>
      </w:r>
      <w:r w:rsidR="00052A2B">
        <w:rPr>
          <w:rFonts w:cs="Arial"/>
          <w:sz w:val="22"/>
          <w:szCs w:val="22"/>
        </w:rPr>
        <w:t>Professional Year P</w:t>
      </w:r>
      <w:r w:rsidR="1ACC9A9D" w:rsidRPr="122622FD">
        <w:rPr>
          <w:rFonts w:cs="Arial"/>
          <w:sz w:val="22"/>
          <w:szCs w:val="22"/>
        </w:rPr>
        <w:t>rogram.</w:t>
      </w:r>
    </w:p>
    <w:p w14:paraId="36FEB5B0" w14:textId="5E2273B3" w:rsidR="00CA1124" w:rsidRPr="007D001A" w:rsidRDefault="004D081B" w:rsidP="001019DA">
      <w:pPr>
        <w:pStyle w:val="Heading1"/>
        <w:numPr>
          <w:ilvl w:val="0"/>
          <w:numId w:val="11"/>
        </w:numPr>
        <w:jc w:val="both"/>
        <w:rPr>
          <w:b/>
          <w:bCs/>
        </w:rPr>
      </w:pPr>
      <w:bookmarkStart w:id="8" w:name="_Toc191046621"/>
      <w:bookmarkStart w:id="9" w:name="_Toc209429080"/>
      <w:r w:rsidRPr="00E57A0B">
        <w:rPr>
          <w:b/>
          <w:bCs/>
        </w:rPr>
        <w:t>DEFINITIONS</w:t>
      </w:r>
      <w:bookmarkEnd w:id="8"/>
      <w:bookmarkEnd w:id="9"/>
    </w:p>
    <w:p w14:paraId="7B52C185" w14:textId="7DB5F653" w:rsidR="004D081B" w:rsidRPr="004D081B" w:rsidRDefault="2886D2AA" w:rsidP="001019DA">
      <w:pPr>
        <w:spacing w:before="120" w:after="120" w:line="276" w:lineRule="auto"/>
        <w:jc w:val="both"/>
        <w:rPr>
          <w:rFonts w:cs="Arial"/>
          <w:sz w:val="22"/>
          <w:szCs w:val="22"/>
        </w:rPr>
      </w:pPr>
      <w:r w:rsidRPr="122622FD">
        <w:rPr>
          <w:sz w:val="22"/>
          <w:szCs w:val="22"/>
        </w:rPr>
        <w:t>Unless the contrary intention is expressed in this Policy, the following words (when used in this policy) have the meaning set out below:</w:t>
      </w:r>
    </w:p>
    <w:p w14:paraId="1AD6EAB2" w14:textId="4E7E927D" w:rsidR="004D081B" w:rsidRPr="004D081B" w:rsidRDefault="2886D2AA" w:rsidP="001019DA">
      <w:pPr>
        <w:spacing w:before="120" w:after="120" w:line="276" w:lineRule="auto"/>
        <w:jc w:val="both"/>
        <w:rPr>
          <w:b/>
          <w:bCs/>
          <w:sz w:val="22"/>
          <w:szCs w:val="22"/>
        </w:rPr>
      </w:pPr>
      <w:r w:rsidRPr="122622FD">
        <w:rPr>
          <w:b/>
          <w:bCs/>
          <w:sz w:val="22"/>
          <w:szCs w:val="22"/>
        </w:rPr>
        <w:t>AIBL</w:t>
      </w:r>
      <w:r w:rsidR="6DBC8FF9" w:rsidRPr="122622FD">
        <w:rPr>
          <w:b/>
          <w:bCs/>
          <w:sz w:val="22"/>
          <w:szCs w:val="22"/>
        </w:rPr>
        <w:t xml:space="preserve"> </w:t>
      </w:r>
      <w:r w:rsidR="6DBC8FF9" w:rsidRPr="122622FD">
        <w:rPr>
          <w:sz w:val="22"/>
          <w:szCs w:val="22"/>
        </w:rPr>
        <w:t>– Albright Institute of Business and Language</w:t>
      </w:r>
    </w:p>
    <w:p w14:paraId="37DD72AF" w14:textId="7FBDD51C" w:rsidR="004D081B" w:rsidRPr="004D081B" w:rsidRDefault="2886D2AA" w:rsidP="001019DA">
      <w:pPr>
        <w:spacing w:before="120" w:after="120" w:line="276" w:lineRule="auto"/>
        <w:jc w:val="both"/>
        <w:rPr>
          <w:rFonts w:cs="Arial"/>
          <w:sz w:val="22"/>
          <w:szCs w:val="22"/>
        </w:rPr>
      </w:pPr>
      <w:r w:rsidRPr="122622FD">
        <w:rPr>
          <w:b/>
          <w:bCs/>
          <w:sz w:val="22"/>
          <w:szCs w:val="22"/>
        </w:rPr>
        <w:t>EEA</w:t>
      </w:r>
      <w:r w:rsidR="16F4DA92" w:rsidRPr="122622FD">
        <w:rPr>
          <w:b/>
          <w:bCs/>
          <w:sz w:val="22"/>
          <w:szCs w:val="22"/>
        </w:rPr>
        <w:t xml:space="preserve"> </w:t>
      </w:r>
      <w:r w:rsidR="16F4DA92" w:rsidRPr="122622FD">
        <w:rPr>
          <w:sz w:val="22"/>
          <w:szCs w:val="22"/>
        </w:rPr>
        <w:t>– Engineering Education Australia</w:t>
      </w:r>
    </w:p>
    <w:p w14:paraId="1A1B2ED2" w14:textId="1CA82BF2" w:rsidR="004D081B" w:rsidRPr="004D081B" w:rsidRDefault="2886D2AA" w:rsidP="001019DA">
      <w:pPr>
        <w:spacing w:before="120" w:after="120" w:line="276" w:lineRule="auto"/>
        <w:jc w:val="both"/>
        <w:rPr>
          <w:b/>
          <w:bCs/>
          <w:sz w:val="22"/>
          <w:szCs w:val="22"/>
        </w:rPr>
      </w:pPr>
      <w:r w:rsidRPr="122622FD">
        <w:rPr>
          <w:b/>
          <w:bCs/>
          <w:sz w:val="22"/>
          <w:szCs w:val="22"/>
        </w:rPr>
        <w:t>DHA</w:t>
      </w:r>
      <w:r w:rsidR="4EA0861B" w:rsidRPr="122622FD">
        <w:rPr>
          <w:b/>
          <w:bCs/>
          <w:sz w:val="22"/>
          <w:szCs w:val="22"/>
        </w:rPr>
        <w:t xml:space="preserve"> </w:t>
      </w:r>
      <w:r w:rsidR="4EA0861B" w:rsidRPr="122622FD">
        <w:rPr>
          <w:sz w:val="22"/>
          <w:szCs w:val="22"/>
        </w:rPr>
        <w:t>– Department of Home Affairs</w:t>
      </w:r>
    </w:p>
    <w:p w14:paraId="79FFC363" w14:textId="18FC10B7" w:rsidR="004D081B" w:rsidRPr="004D081B" w:rsidRDefault="2886D2AA" w:rsidP="001019DA">
      <w:pPr>
        <w:spacing w:before="120" w:after="120" w:line="276" w:lineRule="auto"/>
        <w:jc w:val="both"/>
        <w:rPr>
          <w:rFonts w:cs="Arial"/>
          <w:sz w:val="22"/>
          <w:szCs w:val="22"/>
        </w:rPr>
      </w:pPr>
      <w:r w:rsidRPr="122622FD">
        <w:rPr>
          <w:b/>
          <w:bCs/>
          <w:sz w:val="22"/>
          <w:szCs w:val="22"/>
        </w:rPr>
        <w:t>DIBP</w:t>
      </w:r>
      <w:r w:rsidRPr="122622FD">
        <w:rPr>
          <w:sz w:val="22"/>
          <w:szCs w:val="22"/>
        </w:rPr>
        <w:t xml:space="preserve"> –Department of Immigration and Border Protection</w:t>
      </w:r>
    </w:p>
    <w:p w14:paraId="6E300BAC" w14:textId="153EC5E8" w:rsidR="004D081B" w:rsidRDefault="00783161" w:rsidP="001019DA">
      <w:pPr>
        <w:spacing w:before="120" w:after="120" w:line="276" w:lineRule="auto"/>
        <w:jc w:val="both"/>
        <w:rPr>
          <w:sz w:val="22"/>
          <w:szCs w:val="22"/>
        </w:rPr>
      </w:pPr>
      <w:r>
        <w:rPr>
          <w:b/>
          <w:bCs/>
          <w:sz w:val="22"/>
          <w:szCs w:val="22"/>
        </w:rPr>
        <w:t>WPC</w:t>
      </w:r>
      <w:r w:rsidR="009E2E89">
        <w:rPr>
          <w:sz w:val="22"/>
          <w:szCs w:val="22"/>
        </w:rPr>
        <w:t xml:space="preserve"> – </w:t>
      </w:r>
      <w:r>
        <w:rPr>
          <w:sz w:val="22"/>
          <w:szCs w:val="22"/>
        </w:rPr>
        <w:t>Work Placement Coordinator</w:t>
      </w:r>
      <w:r w:rsidR="2886D2AA" w:rsidRPr="122622FD">
        <w:rPr>
          <w:sz w:val="22"/>
          <w:szCs w:val="22"/>
        </w:rPr>
        <w:t xml:space="preserve"> (</w:t>
      </w:r>
      <w:r w:rsidR="63DDDDDC" w:rsidRPr="122622FD">
        <w:rPr>
          <w:sz w:val="22"/>
          <w:szCs w:val="22"/>
        </w:rPr>
        <w:t>Albright Institute of Business and Language</w:t>
      </w:r>
      <w:r w:rsidR="2886D2AA" w:rsidRPr="122622FD">
        <w:rPr>
          <w:sz w:val="22"/>
          <w:szCs w:val="22"/>
        </w:rPr>
        <w:t xml:space="preserve">) </w:t>
      </w:r>
    </w:p>
    <w:p w14:paraId="3533C8AF" w14:textId="5B8405B3" w:rsidR="00582E68" w:rsidRPr="004D081B" w:rsidRDefault="00582E68" w:rsidP="001019DA">
      <w:pPr>
        <w:spacing w:before="120" w:after="120" w:line="276" w:lineRule="auto"/>
        <w:jc w:val="both"/>
        <w:rPr>
          <w:rFonts w:cs="Arial"/>
          <w:sz w:val="22"/>
          <w:szCs w:val="22"/>
        </w:rPr>
      </w:pPr>
      <w:r w:rsidRPr="00C52C6F">
        <w:rPr>
          <w:b/>
          <w:bCs/>
          <w:sz w:val="22"/>
          <w:szCs w:val="22"/>
        </w:rPr>
        <w:t>PM</w:t>
      </w:r>
      <w:r>
        <w:rPr>
          <w:sz w:val="22"/>
          <w:szCs w:val="22"/>
        </w:rPr>
        <w:t xml:space="preserve"> – Program Manager</w:t>
      </w:r>
    </w:p>
    <w:p w14:paraId="0BDF51B6" w14:textId="02762D62" w:rsidR="004D081B" w:rsidRPr="004D081B" w:rsidRDefault="2886D2AA" w:rsidP="001019DA">
      <w:pPr>
        <w:spacing w:before="120" w:after="120" w:line="276" w:lineRule="auto"/>
        <w:jc w:val="both"/>
        <w:rPr>
          <w:rFonts w:cs="Arial"/>
          <w:sz w:val="22"/>
          <w:szCs w:val="22"/>
        </w:rPr>
      </w:pPr>
      <w:r w:rsidRPr="122622FD">
        <w:rPr>
          <w:b/>
          <w:bCs/>
          <w:sz w:val="22"/>
          <w:szCs w:val="22"/>
        </w:rPr>
        <w:t>WHS</w:t>
      </w:r>
      <w:r w:rsidRPr="122622FD">
        <w:rPr>
          <w:sz w:val="22"/>
          <w:szCs w:val="22"/>
        </w:rPr>
        <w:t xml:space="preserve"> -</w:t>
      </w:r>
      <w:r w:rsidR="008D3EF9">
        <w:tab/>
      </w:r>
      <w:r w:rsidRPr="122622FD">
        <w:rPr>
          <w:sz w:val="22"/>
          <w:szCs w:val="22"/>
        </w:rPr>
        <w:t>Work Health and Safety</w:t>
      </w:r>
    </w:p>
    <w:p w14:paraId="4E80CED3" w14:textId="6AA5A278" w:rsidR="009E2E89" w:rsidRDefault="2886D2AA" w:rsidP="001019DA">
      <w:pPr>
        <w:spacing w:before="120" w:after="120" w:line="276" w:lineRule="auto"/>
        <w:jc w:val="both"/>
        <w:rPr>
          <w:sz w:val="22"/>
          <w:szCs w:val="22"/>
        </w:rPr>
      </w:pPr>
      <w:r w:rsidRPr="122622FD">
        <w:rPr>
          <w:b/>
          <w:bCs/>
          <w:sz w:val="22"/>
          <w:szCs w:val="22"/>
        </w:rPr>
        <w:t>OHS</w:t>
      </w:r>
      <w:r w:rsidRPr="122622FD">
        <w:rPr>
          <w:sz w:val="22"/>
          <w:szCs w:val="22"/>
        </w:rPr>
        <w:t xml:space="preserve"> – Occupational Health and Safety – State Legislation, Victoria</w:t>
      </w:r>
    </w:p>
    <w:p w14:paraId="70C18703" w14:textId="77777777" w:rsidR="009E292F" w:rsidRDefault="009E292F" w:rsidP="001019DA">
      <w:pPr>
        <w:spacing w:before="120" w:after="120" w:line="276" w:lineRule="auto"/>
        <w:jc w:val="both"/>
        <w:rPr>
          <w:sz w:val="22"/>
          <w:szCs w:val="22"/>
        </w:rPr>
      </w:pPr>
    </w:p>
    <w:p w14:paraId="0FFB5160" w14:textId="77777777" w:rsidR="009E292F" w:rsidRDefault="009E292F" w:rsidP="001019DA">
      <w:pPr>
        <w:spacing w:before="120" w:after="120" w:line="276" w:lineRule="auto"/>
        <w:jc w:val="both"/>
        <w:rPr>
          <w:sz w:val="22"/>
          <w:szCs w:val="22"/>
        </w:rPr>
      </w:pPr>
    </w:p>
    <w:p w14:paraId="17C5F157" w14:textId="77777777" w:rsidR="009E292F" w:rsidRDefault="009E292F" w:rsidP="001019DA">
      <w:pPr>
        <w:spacing w:before="120" w:after="120" w:line="276" w:lineRule="auto"/>
        <w:jc w:val="both"/>
        <w:rPr>
          <w:sz w:val="22"/>
          <w:szCs w:val="22"/>
        </w:rPr>
      </w:pPr>
    </w:p>
    <w:p w14:paraId="002E0CC1" w14:textId="77777777" w:rsidR="009E292F" w:rsidRDefault="009E292F" w:rsidP="001019DA">
      <w:pPr>
        <w:spacing w:before="120" w:after="120" w:line="276" w:lineRule="auto"/>
        <w:jc w:val="both"/>
        <w:rPr>
          <w:rFonts w:cs="Arial"/>
          <w:sz w:val="22"/>
          <w:szCs w:val="22"/>
        </w:rPr>
      </w:pPr>
    </w:p>
    <w:p w14:paraId="0B3FCCE0" w14:textId="77777777" w:rsidR="00E57A0B" w:rsidRPr="004D081B" w:rsidRDefault="00E57A0B" w:rsidP="001019DA">
      <w:pPr>
        <w:spacing w:before="120" w:after="120" w:line="276" w:lineRule="auto"/>
        <w:jc w:val="both"/>
        <w:rPr>
          <w:rFonts w:cs="Arial"/>
          <w:sz w:val="22"/>
          <w:szCs w:val="22"/>
        </w:rPr>
      </w:pPr>
    </w:p>
    <w:p w14:paraId="636EE364" w14:textId="0C0E26DF" w:rsidR="007D001A" w:rsidRPr="007D001A" w:rsidRDefault="008D3EF9" w:rsidP="007D001A">
      <w:pPr>
        <w:pStyle w:val="Heading1"/>
        <w:numPr>
          <w:ilvl w:val="0"/>
          <w:numId w:val="11"/>
        </w:numPr>
        <w:jc w:val="both"/>
        <w:rPr>
          <w:b/>
          <w:bCs/>
        </w:rPr>
      </w:pPr>
      <w:bookmarkStart w:id="10" w:name="_Toc191046622"/>
      <w:bookmarkStart w:id="11" w:name="_Toc209429081"/>
      <w:r w:rsidRPr="00E57A0B">
        <w:rPr>
          <w:b/>
          <w:bCs/>
        </w:rPr>
        <w:lastRenderedPageBreak/>
        <w:t>POLICY STATEMENT</w:t>
      </w:r>
      <w:bookmarkEnd w:id="10"/>
      <w:bookmarkEnd w:id="11"/>
    </w:p>
    <w:p w14:paraId="6A07C6D3" w14:textId="52E3DD10" w:rsidR="009E2E89" w:rsidRPr="001019DA" w:rsidRDefault="4608316C" w:rsidP="001019DA">
      <w:pPr>
        <w:pStyle w:val="Heading3"/>
        <w:rPr>
          <w:rFonts w:ascii="Century Gothic" w:hAnsi="Century Gothic" w:cs="Arial"/>
          <w:b/>
          <w:bCs/>
        </w:rPr>
      </w:pPr>
      <w:bookmarkStart w:id="12" w:name="_Toc209429082"/>
      <w:r w:rsidRPr="001019DA">
        <w:rPr>
          <w:rFonts w:ascii="Century Gothic" w:hAnsi="Century Gothic"/>
          <w:b/>
          <w:bCs/>
          <w:lang w:val="en-AU"/>
        </w:rPr>
        <w:t>Provision of information</w:t>
      </w:r>
      <w:bookmarkEnd w:id="12"/>
    </w:p>
    <w:p w14:paraId="27734107" w14:textId="7E984FC9" w:rsidR="4608316C" w:rsidRPr="009E2E89" w:rsidRDefault="4608316C" w:rsidP="001019DA">
      <w:pPr>
        <w:jc w:val="both"/>
        <w:rPr>
          <w:rFonts w:cs="Arial"/>
          <w:sz w:val="22"/>
          <w:szCs w:val="22"/>
        </w:rPr>
      </w:pPr>
      <w:r w:rsidRPr="009E2E89">
        <w:rPr>
          <w:rFonts w:cs="Arial"/>
          <w:sz w:val="22"/>
          <w:szCs w:val="22"/>
        </w:rPr>
        <w:t xml:space="preserve">Participants are provided information on the </w:t>
      </w:r>
      <w:r w:rsidR="00582E68">
        <w:rPr>
          <w:rFonts w:cs="Arial"/>
          <w:sz w:val="22"/>
          <w:szCs w:val="22"/>
        </w:rPr>
        <w:t xml:space="preserve">Professional Year Program and </w:t>
      </w:r>
      <w:r w:rsidRPr="009E2E89">
        <w:rPr>
          <w:rFonts w:cs="Arial"/>
          <w:sz w:val="22"/>
          <w:szCs w:val="22"/>
        </w:rPr>
        <w:t xml:space="preserve">Internship phase of their course during the participant induction </w:t>
      </w:r>
      <w:r w:rsidR="00582E68">
        <w:rPr>
          <w:rFonts w:cs="Arial"/>
          <w:sz w:val="22"/>
          <w:szCs w:val="22"/>
        </w:rPr>
        <w:t>which is also outlined in the</w:t>
      </w:r>
      <w:r w:rsidRPr="009E2E89">
        <w:rPr>
          <w:rFonts w:cs="Arial"/>
          <w:sz w:val="22"/>
          <w:szCs w:val="22"/>
        </w:rPr>
        <w:t xml:space="preserve"> </w:t>
      </w:r>
      <w:r w:rsidRPr="009E2E89">
        <w:rPr>
          <w:rFonts w:cs="Arial"/>
          <w:sz w:val="22"/>
          <w:szCs w:val="22"/>
          <w:highlight w:val="yellow"/>
        </w:rPr>
        <w:t>Participant Handbook</w:t>
      </w:r>
      <w:r w:rsidRPr="009E2E89">
        <w:rPr>
          <w:rFonts w:cs="Arial"/>
          <w:sz w:val="22"/>
          <w:szCs w:val="22"/>
        </w:rPr>
        <w:t xml:space="preserve">. </w:t>
      </w:r>
    </w:p>
    <w:p w14:paraId="20AB7B20" w14:textId="6565AFA6" w:rsidR="4608316C" w:rsidRPr="009E2E89" w:rsidRDefault="00052A2B" w:rsidP="001019DA">
      <w:pPr>
        <w:jc w:val="both"/>
        <w:rPr>
          <w:sz w:val="22"/>
          <w:szCs w:val="22"/>
        </w:rPr>
      </w:pPr>
      <w:r>
        <w:rPr>
          <w:sz w:val="22"/>
          <w:szCs w:val="22"/>
          <w:lang w:val="en-AU"/>
        </w:rPr>
        <w:t>For Professional Year Program a</w:t>
      </w:r>
      <w:r w:rsidR="4608316C" w:rsidRPr="009E2E89">
        <w:rPr>
          <w:sz w:val="22"/>
          <w:szCs w:val="22"/>
          <w:lang w:val="en-AU"/>
        </w:rPr>
        <w:t xml:space="preserve">rranged by </w:t>
      </w:r>
      <w:r w:rsidR="7842709D" w:rsidRPr="009E2E89">
        <w:rPr>
          <w:sz w:val="22"/>
          <w:szCs w:val="22"/>
          <w:lang w:val="en-AU"/>
        </w:rPr>
        <w:t>Albright Institute of Business and Language</w:t>
      </w:r>
      <w:r w:rsidR="4608316C" w:rsidRPr="009E2E89">
        <w:rPr>
          <w:sz w:val="22"/>
          <w:szCs w:val="22"/>
          <w:lang w:val="en-AU"/>
        </w:rPr>
        <w:t xml:space="preserve"> </w:t>
      </w:r>
    </w:p>
    <w:p w14:paraId="37FE4AB9" w14:textId="77777777" w:rsidR="009E2E89" w:rsidRDefault="009E2E89" w:rsidP="001019DA">
      <w:pPr>
        <w:jc w:val="both"/>
        <w:rPr>
          <w:sz w:val="22"/>
          <w:szCs w:val="22"/>
        </w:rPr>
      </w:pPr>
    </w:p>
    <w:p w14:paraId="53591D6B" w14:textId="37BE5004" w:rsidR="4608316C" w:rsidRPr="009E2E89" w:rsidRDefault="4608316C" w:rsidP="001019DA">
      <w:pPr>
        <w:jc w:val="both"/>
        <w:rPr>
          <w:sz w:val="22"/>
          <w:szCs w:val="22"/>
        </w:rPr>
      </w:pPr>
      <w:r w:rsidRPr="009E2E89">
        <w:rPr>
          <w:sz w:val="22"/>
          <w:szCs w:val="22"/>
        </w:rPr>
        <w:t xml:space="preserve">All </w:t>
      </w:r>
      <w:r w:rsidR="00052A2B">
        <w:rPr>
          <w:sz w:val="22"/>
          <w:szCs w:val="22"/>
        </w:rPr>
        <w:t xml:space="preserve">Professional Year Program and the </w:t>
      </w:r>
      <w:r w:rsidRPr="009E2E89">
        <w:rPr>
          <w:sz w:val="22"/>
          <w:szCs w:val="22"/>
        </w:rPr>
        <w:t xml:space="preserve">Internships arranged by </w:t>
      </w:r>
      <w:r w:rsidR="3DC861CE" w:rsidRPr="009E2E89">
        <w:rPr>
          <w:sz w:val="22"/>
          <w:szCs w:val="22"/>
        </w:rPr>
        <w:t>Albright Institute of Business and Language</w:t>
      </w:r>
      <w:r w:rsidRPr="009E2E89">
        <w:rPr>
          <w:sz w:val="22"/>
          <w:szCs w:val="22"/>
        </w:rPr>
        <w:t xml:space="preserve"> will:</w:t>
      </w:r>
    </w:p>
    <w:p w14:paraId="60CAE0AB" w14:textId="1DCCA2EF" w:rsidR="009E2E89" w:rsidRPr="00E57A0B" w:rsidRDefault="4608316C" w:rsidP="001019DA">
      <w:pPr>
        <w:pStyle w:val="ListParagraph"/>
        <w:numPr>
          <w:ilvl w:val="0"/>
          <w:numId w:val="33"/>
        </w:numPr>
        <w:jc w:val="both"/>
        <w:rPr>
          <w:rFonts w:ascii="Century Gothic" w:hAnsi="Century Gothic"/>
        </w:rPr>
      </w:pPr>
      <w:r w:rsidRPr="00052A2B">
        <w:rPr>
          <w:rFonts w:ascii="Century Gothic" w:hAnsi="Century Gothic"/>
        </w:rPr>
        <w:t>Include an agreed Training Plan where the specific training outcomes are determined and monitored.</w:t>
      </w:r>
    </w:p>
    <w:p w14:paraId="32BB9C4A" w14:textId="6A490A91" w:rsidR="009E2E89" w:rsidRPr="00052A2B" w:rsidRDefault="4608316C" w:rsidP="001019DA">
      <w:pPr>
        <w:pStyle w:val="ListParagraph"/>
        <w:numPr>
          <w:ilvl w:val="0"/>
          <w:numId w:val="33"/>
        </w:numPr>
        <w:jc w:val="both"/>
        <w:rPr>
          <w:rFonts w:ascii="Century Gothic" w:hAnsi="Century Gothic"/>
        </w:rPr>
      </w:pPr>
      <w:r w:rsidRPr="00052A2B">
        <w:rPr>
          <w:rFonts w:ascii="Century Gothic" w:hAnsi="Century Gothic"/>
        </w:rPr>
        <w:t>Be supervised by a Host Company mentor who is able to assist the intern to achieve all elements of the Training Plan.</w:t>
      </w:r>
    </w:p>
    <w:p w14:paraId="50FE3209" w14:textId="78EDE5C6" w:rsidR="009E2E89" w:rsidRPr="00052A2B" w:rsidRDefault="4608316C" w:rsidP="001019DA">
      <w:pPr>
        <w:pStyle w:val="ListParagraph"/>
        <w:numPr>
          <w:ilvl w:val="0"/>
          <w:numId w:val="33"/>
        </w:numPr>
        <w:jc w:val="both"/>
        <w:rPr>
          <w:rFonts w:ascii="Century Gothic" w:hAnsi="Century Gothic"/>
        </w:rPr>
      </w:pPr>
      <w:r w:rsidRPr="00052A2B">
        <w:rPr>
          <w:rFonts w:ascii="Century Gothic" w:hAnsi="Century Gothic"/>
        </w:rPr>
        <w:t xml:space="preserve">Be a supernumerary in the role – i.e. not taking a role that would be normally expected to be filled by a paid employee </w:t>
      </w:r>
    </w:p>
    <w:p w14:paraId="40C23DE7" w14:textId="3439E0E9" w:rsidR="009E2E89" w:rsidRPr="00C52C6F" w:rsidRDefault="4608316C" w:rsidP="001019DA">
      <w:pPr>
        <w:pStyle w:val="ListParagraph"/>
        <w:numPr>
          <w:ilvl w:val="0"/>
          <w:numId w:val="33"/>
        </w:numPr>
        <w:jc w:val="both"/>
        <w:rPr>
          <w:rFonts w:ascii="Century Gothic" w:hAnsi="Century Gothic"/>
        </w:rPr>
      </w:pPr>
      <w:r w:rsidRPr="00052A2B">
        <w:rPr>
          <w:rFonts w:ascii="Century Gothic" w:hAnsi="Century Gothic"/>
        </w:rPr>
        <w:t xml:space="preserve">Have no formal ‘employer-employee’ relationship established, including Workers </w:t>
      </w:r>
      <w:r w:rsidRPr="00C52C6F">
        <w:rPr>
          <w:rFonts w:ascii="Century Gothic" w:hAnsi="Century Gothic"/>
        </w:rPr>
        <w:t>Compensation cover which is provided by</w:t>
      </w:r>
      <w:r w:rsidR="00733C79" w:rsidRPr="00C52C6F">
        <w:rPr>
          <w:rFonts w:ascii="Century Gothic" w:hAnsi="Century Gothic"/>
        </w:rPr>
        <w:t xml:space="preserve"> AIBL</w:t>
      </w:r>
      <w:r w:rsidRPr="00C52C6F">
        <w:rPr>
          <w:rFonts w:ascii="Century Gothic" w:hAnsi="Century Gothic"/>
        </w:rPr>
        <w:t>.</w:t>
      </w:r>
    </w:p>
    <w:p w14:paraId="5716735E" w14:textId="69153A1A" w:rsidR="009E2E89" w:rsidRPr="00C52C6F" w:rsidRDefault="4608316C" w:rsidP="001019DA">
      <w:pPr>
        <w:pStyle w:val="ListParagraph"/>
        <w:numPr>
          <w:ilvl w:val="0"/>
          <w:numId w:val="33"/>
        </w:numPr>
        <w:jc w:val="both"/>
        <w:rPr>
          <w:rFonts w:ascii="Century Gothic" w:hAnsi="Century Gothic"/>
        </w:rPr>
      </w:pPr>
      <w:r w:rsidRPr="00C52C6F">
        <w:rPr>
          <w:rFonts w:ascii="Century Gothic" w:hAnsi="Century Gothic"/>
        </w:rPr>
        <w:t>Not extend beyond the agreed period as stipulated in the Provider Agreements</w:t>
      </w:r>
      <w:r w:rsidR="009E2E89" w:rsidRPr="00C52C6F">
        <w:rPr>
          <w:rFonts w:ascii="Century Gothic" w:hAnsi="Century Gothic"/>
        </w:rPr>
        <w:t>.</w:t>
      </w:r>
    </w:p>
    <w:p w14:paraId="57B0B136" w14:textId="6EF136FB" w:rsidR="009E2E89" w:rsidRPr="00052A2B" w:rsidRDefault="4608316C" w:rsidP="001019DA">
      <w:pPr>
        <w:pStyle w:val="ListParagraph"/>
        <w:numPr>
          <w:ilvl w:val="0"/>
          <w:numId w:val="33"/>
        </w:numPr>
        <w:jc w:val="both"/>
        <w:rPr>
          <w:rFonts w:ascii="Century Gothic" w:hAnsi="Century Gothic"/>
        </w:rPr>
      </w:pPr>
      <w:r w:rsidRPr="00052A2B">
        <w:rPr>
          <w:rFonts w:ascii="Century Gothic" w:hAnsi="Century Gothic"/>
        </w:rPr>
        <w:t xml:space="preserve">Be at a Host Company with the capacity to provide the requirements of an internship. </w:t>
      </w:r>
    </w:p>
    <w:p w14:paraId="75BF1D11" w14:textId="5B3522C6" w:rsidR="009E2E89" w:rsidRPr="00052A2B" w:rsidRDefault="4608316C" w:rsidP="001019DA">
      <w:pPr>
        <w:pStyle w:val="ListParagraph"/>
        <w:numPr>
          <w:ilvl w:val="0"/>
          <w:numId w:val="33"/>
        </w:numPr>
        <w:jc w:val="both"/>
        <w:rPr>
          <w:rFonts w:ascii="Century Gothic" w:hAnsi="Century Gothic"/>
        </w:rPr>
      </w:pPr>
      <w:r w:rsidRPr="00052A2B">
        <w:rPr>
          <w:rFonts w:ascii="Century Gothic" w:hAnsi="Century Gothic"/>
        </w:rPr>
        <w:t>Directly relate to the participant’s qualifications and include a minimum of 70% of graduate entry work or higher. Interns should not be regarded as the ‘junior employee’ and required to do tasks such as coffee making, photocopying, lunch area cleaning etc. Interns will also work a normal roster such as other staff would be assigned.</w:t>
      </w:r>
    </w:p>
    <w:p w14:paraId="14DEDC28" w14:textId="32D7E066" w:rsidR="009E2E89" w:rsidRPr="00052A2B" w:rsidRDefault="4608316C" w:rsidP="001019DA">
      <w:pPr>
        <w:pStyle w:val="ListParagraph"/>
        <w:numPr>
          <w:ilvl w:val="0"/>
          <w:numId w:val="33"/>
        </w:numPr>
        <w:jc w:val="both"/>
        <w:rPr>
          <w:rFonts w:ascii="Century Gothic" w:hAnsi="Century Gothic"/>
        </w:rPr>
      </w:pPr>
      <w:r w:rsidRPr="00052A2B">
        <w:rPr>
          <w:rFonts w:ascii="Century Gothic" w:hAnsi="Century Gothic"/>
        </w:rPr>
        <w:t>Be with host companies who are highly supportive of the intern role, an organisation that has a ‘revolving door’ of interns will be monitored closely to ensure the intern role is not being used as a de facto employment role whereby a permanent paid role should be in place.</w:t>
      </w:r>
    </w:p>
    <w:p w14:paraId="2DB64C96" w14:textId="30AC58FB" w:rsidR="4608316C" w:rsidRDefault="4608316C" w:rsidP="001019DA">
      <w:pPr>
        <w:pStyle w:val="ListParagraph"/>
        <w:numPr>
          <w:ilvl w:val="0"/>
          <w:numId w:val="33"/>
        </w:numPr>
        <w:jc w:val="both"/>
        <w:rPr>
          <w:rFonts w:ascii="Century Gothic" w:hAnsi="Century Gothic"/>
        </w:rPr>
      </w:pPr>
      <w:r w:rsidRPr="00052A2B">
        <w:rPr>
          <w:rFonts w:ascii="Century Gothic" w:hAnsi="Century Gothic"/>
        </w:rPr>
        <w:t>Ensure that if an internship is ‘paid’, the rate must be at the minimum award rate or above.</w:t>
      </w:r>
    </w:p>
    <w:p w14:paraId="4701A04D" w14:textId="6FE535B0" w:rsidR="4608316C" w:rsidRDefault="4608316C" w:rsidP="001019DA">
      <w:pPr>
        <w:jc w:val="both"/>
        <w:rPr>
          <w:sz w:val="22"/>
          <w:szCs w:val="22"/>
        </w:rPr>
      </w:pPr>
      <w:r w:rsidRPr="009E2E89">
        <w:rPr>
          <w:sz w:val="22"/>
          <w:szCs w:val="22"/>
        </w:rPr>
        <w:t xml:space="preserve">Host Companies can provide support during an unpaid internship which might include specific things such as </w:t>
      </w:r>
      <w:r w:rsidR="009E292F" w:rsidRPr="009E2E89">
        <w:rPr>
          <w:sz w:val="22"/>
          <w:szCs w:val="22"/>
        </w:rPr>
        <w:t>accommodation</w:t>
      </w:r>
      <w:r w:rsidRPr="009E2E89">
        <w:rPr>
          <w:sz w:val="22"/>
          <w:szCs w:val="22"/>
        </w:rPr>
        <w:t xml:space="preserve"> allowance, meal allowance, travel allowance or similar. These are not regarded as ‘payment</w:t>
      </w:r>
      <w:r w:rsidR="009E292F" w:rsidRPr="009E2E89">
        <w:rPr>
          <w:sz w:val="22"/>
          <w:szCs w:val="22"/>
        </w:rPr>
        <w:t>’ but</w:t>
      </w:r>
      <w:r w:rsidRPr="009E2E89">
        <w:rPr>
          <w:sz w:val="22"/>
          <w:szCs w:val="22"/>
        </w:rPr>
        <w:t xml:space="preserve"> also need to be in-line with expected expense reimbursement.</w:t>
      </w:r>
    </w:p>
    <w:p w14:paraId="2C484CD4" w14:textId="77777777" w:rsidR="009E292F" w:rsidRPr="009E2E89" w:rsidRDefault="009E292F" w:rsidP="001019DA">
      <w:pPr>
        <w:jc w:val="both"/>
        <w:rPr>
          <w:sz w:val="22"/>
          <w:szCs w:val="22"/>
        </w:rPr>
      </w:pPr>
    </w:p>
    <w:p w14:paraId="3D91D7DB" w14:textId="558E2939" w:rsidR="4608316C" w:rsidRPr="009E2E89" w:rsidRDefault="4608316C" w:rsidP="001019DA">
      <w:pPr>
        <w:pStyle w:val="ListParagraph"/>
        <w:numPr>
          <w:ilvl w:val="0"/>
          <w:numId w:val="2"/>
        </w:numPr>
        <w:spacing w:after="60" w:line="240" w:lineRule="auto"/>
        <w:ind w:left="567" w:hanging="567"/>
        <w:jc w:val="both"/>
        <w:rPr>
          <w:rFonts w:ascii="Century Gothic" w:eastAsiaTheme="minorEastAsia" w:hAnsi="Century Gothic" w:cstheme="minorBidi"/>
          <w:lang w:val="en-US"/>
        </w:rPr>
      </w:pPr>
      <w:r w:rsidRPr="009E2E89">
        <w:rPr>
          <w:rFonts w:ascii="Century Gothic" w:eastAsiaTheme="minorEastAsia" w:hAnsi="Century Gothic" w:cstheme="minorBidi"/>
        </w:rPr>
        <w:t>Be at a Host Company that conducts business from a dedicated business premise/working environment.</w:t>
      </w:r>
    </w:p>
    <w:p w14:paraId="37C2BFD0" w14:textId="77777777" w:rsidR="009E2E89" w:rsidRDefault="009E2E89" w:rsidP="001019DA">
      <w:pPr>
        <w:jc w:val="both"/>
        <w:rPr>
          <w:lang w:val="en-AU"/>
        </w:rPr>
      </w:pPr>
    </w:p>
    <w:p w14:paraId="69F5584C" w14:textId="2E5C5747" w:rsidR="00052A2B" w:rsidRPr="001019DA" w:rsidRDefault="00052A2B" w:rsidP="001019DA">
      <w:pPr>
        <w:pStyle w:val="Heading1"/>
        <w:numPr>
          <w:ilvl w:val="0"/>
          <w:numId w:val="11"/>
        </w:numPr>
        <w:jc w:val="both"/>
        <w:rPr>
          <w:b/>
          <w:bCs/>
          <w:lang w:val="en-AU"/>
        </w:rPr>
      </w:pPr>
      <w:bookmarkStart w:id="13" w:name="_Toc191046623"/>
      <w:bookmarkStart w:id="14" w:name="_Toc209429083"/>
      <w:r w:rsidRPr="001019DA">
        <w:rPr>
          <w:b/>
          <w:bCs/>
          <w:lang w:val="en-AU"/>
        </w:rPr>
        <w:lastRenderedPageBreak/>
        <w:t>PROGRAM GUIDELINES</w:t>
      </w:r>
      <w:bookmarkEnd w:id="13"/>
      <w:bookmarkEnd w:id="14"/>
    </w:p>
    <w:p w14:paraId="166182FC" w14:textId="0AA49AA3" w:rsidR="009E2E89" w:rsidRPr="007D001A" w:rsidRDefault="55A0F021" w:rsidP="007D001A">
      <w:pPr>
        <w:pStyle w:val="Heading3"/>
        <w:rPr>
          <w:rFonts w:ascii="Century Gothic" w:hAnsi="Century Gothic"/>
          <w:b/>
          <w:bCs/>
        </w:rPr>
      </w:pPr>
      <w:bookmarkStart w:id="15" w:name="_Toc191046624"/>
      <w:bookmarkStart w:id="16" w:name="_Toc209429084"/>
      <w:r w:rsidRPr="007D001A">
        <w:rPr>
          <w:rFonts w:ascii="Century Gothic" w:hAnsi="Century Gothic"/>
          <w:b/>
          <w:bCs/>
          <w:lang w:val="en-AU"/>
        </w:rPr>
        <w:t>Albright Institute of Business and Language – Professional Year Program</w:t>
      </w:r>
      <w:bookmarkEnd w:id="15"/>
      <w:bookmarkEnd w:id="16"/>
      <w:r w:rsidR="4608316C" w:rsidRPr="007D001A">
        <w:rPr>
          <w:rFonts w:ascii="Century Gothic" w:hAnsi="Century Gothic"/>
          <w:b/>
          <w:bCs/>
          <w:lang w:val="en-AU"/>
        </w:rPr>
        <w:t xml:space="preserve"> </w:t>
      </w:r>
    </w:p>
    <w:p w14:paraId="7C90D4C7" w14:textId="38A3A204" w:rsidR="00052A2B" w:rsidRDefault="00052A2B" w:rsidP="001019DA">
      <w:pPr>
        <w:jc w:val="both"/>
        <w:rPr>
          <w:rFonts w:cs="Arial"/>
          <w:sz w:val="22"/>
          <w:szCs w:val="22"/>
        </w:rPr>
      </w:pPr>
      <w:r w:rsidRPr="00052A2B">
        <w:rPr>
          <w:rFonts w:cs="Arial"/>
          <w:sz w:val="22"/>
          <w:szCs w:val="22"/>
        </w:rPr>
        <w:t xml:space="preserve">The program aims to provide participants with the skills, practical experience and knowledge of the Australian workplace and culture necessary to pursue employment in their fields of expertise within the Australian workforce. </w:t>
      </w:r>
    </w:p>
    <w:p w14:paraId="39936937" w14:textId="77777777" w:rsidR="00052A2B" w:rsidRDefault="00052A2B" w:rsidP="001019DA">
      <w:pPr>
        <w:jc w:val="both"/>
        <w:rPr>
          <w:rFonts w:cs="Arial"/>
          <w:sz w:val="22"/>
          <w:szCs w:val="22"/>
        </w:rPr>
      </w:pPr>
    </w:p>
    <w:p w14:paraId="710112CC" w14:textId="77777777" w:rsidR="00052A2B" w:rsidRDefault="00052A2B" w:rsidP="001019DA">
      <w:pPr>
        <w:jc w:val="both"/>
        <w:rPr>
          <w:rFonts w:cs="Arial"/>
          <w:sz w:val="22"/>
          <w:szCs w:val="22"/>
        </w:rPr>
      </w:pPr>
      <w:r w:rsidRPr="00052A2B">
        <w:rPr>
          <w:rFonts w:cs="Arial"/>
          <w:sz w:val="22"/>
          <w:szCs w:val="22"/>
        </w:rPr>
        <w:t>The PY program must involve at least 500 hours of formal engagement by the participant (as a mixture of formal learning and workplace experience). The purpose of this employment program is to support international engineers into the Australian Engineering industry to meet the future skill needs of the industry by applying their technical skills and knowledge in the Australian workforce to enable them to:</w:t>
      </w:r>
    </w:p>
    <w:p w14:paraId="2D59845F" w14:textId="77777777" w:rsidR="00052A2B" w:rsidRPr="00052A2B" w:rsidRDefault="00052A2B" w:rsidP="001019DA">
      <w:pPr>
        <w:pStyle w:val="ListParagraph"/>
        <w:numPr>
          <w:ilvl w:val="0"/>
          <w:numId w:val="34"/>
        </w:numPr>
        <w:jc w:val="both"/>
        <w:rPr>
          <w:rFonts w:ascii="Century Gothic" w:hAnsi="Century Gothic"/>
        </w:rPr>
      </w:pPr>
      <w:r w:rsidRPr="00052A2B">
        <w:rPr>
          <w:rFonts w:ascii="Century Gothic" w:hAnsi="Century Gothic" w:cs="Arial"/>
        </w:rPr>
        <w:t>Work within Australian legislative requirements applicable to workplaces and operations,</w:t>
      </w:r>
    </w:p>
    <w:p w14:paraId="69CACA9C" w14:textId="77777777" w:rsidR="00052A2B" w:rsidRPr="00052A2B" w:rsidRDefault="00052A2B" w:rsidP="001019DA">
      <w:pPr>
        <w:pStyle w:val="ListParagraph"/>
        <w:numPr>
          <w:ilvl w:val="0"/>
          <w:numId w:val="34"/>
        </w:numPr>
        <w:jc w:val="both"/>
        <w:rPr>
          <w:rFonts w:ascii="Century Gothic" w:hAnsi="Century Gothic"/>
        </w:rPr>
      </w:pPr>
      <w:r w:rsidRPr="00052A2B">
        <w:rPr>
          <w:rFonts w:ascii="Century Gothic" w:hAnsi="Century Gothic" w:cs="Arial"/>
        </w:rPr>
        <w:t>Work safely and participate in occupational health, safety and environment (OHSE) processes,</w:t>
      </w:r>
    </w:p>
    <w:p w14:paraId="28DBF118" w14:textId="77777777" w:rsidR="00052A2B" w:rsidRPr="00052A2B" w:rsidRDefault="00052A2B" w:rsidP="001019DA">
      <w:pPr>
        <w:pStyle w:val="ListParagraph"/>
        <w:numPr>
          <w:ilvl w:val="0"/>
          <w:numId w:val="34"/>
        </w:numPr>
        <w:jc w:val="both"/>
        <w:rPr>
          <w:rFonts w:ascii="Century Gothic" w:hAnsi="Century Gothic"/>
        </w:rPr>
      </w:pPr>
      <w:r w:rsidRPr="00052A2B">
        <w:rPr>
          <w:rFonts w:ascii="Century Gothic" w:hAnsi="Century Gothic" w:cs="Arial"/>
        </w:rPr>
        <w:t>Work effectively within an organisation’s requirements,</w:t>
      </w:r>
    </w:p>
    <w:p w14:paraId="1130B5CF" w14:textId="0FECF33B" w:rsidR="00052A2B" w:rsidRPr="00052A2B" w:rsidRDefault="00052A2B" w:rsidP="001019DA">
      <w:pPr>
        <w:pStyle w:val="ListParagraph"/>
        <w:numPr>
          <w:ilvl w:val="0"/>
          <w:numId w:val="34"/>
        </w:numPr>
        <w:jc w:val="both"/>
        <w:rPr>
          <w:rFonts w:ascii="Century Gothic" w:hAnsi="Century Gothic"/>
        </w:rPr>
      </w:pPr>
      <w:r w:rsidRPr="00052A2B">
        <w:rPr>
          <w:rFonts w:ascii="Century Gothic" w:hAnsi="Century Gothic" w:cs="Arial"/>
        </w:rPr>
        <w:t>Communicate effectively in the workplace,</w:t>
      </w:r>
      <w:r w:rsidR="00041AF2">
        <w:rPr>
          <w:rFonts w:ascii="Century Gothic" w:hAnsi="Century Gothic" w:cs="Arial"/>
        </w:rPr>
        <w:t xml:space="preserve"> p</w:t>
      </w:r>
      <w:r w:rsidRPr="00052A2B">
        <w:rPr>
          <w:rFonts w:ascii="Century Gothic" w:hAnsi="Century Gothic" w:cs="Arial"/>
        </w:rPr>
        <w:t>rovide effective service to internal (and as appropriate) external clients,</w:t>
      </w:r>
    </w:p>
    <w:p w14:paraId="38714307" w14:textId="77777777" w:rsidR="00052A2B" w:rsidRPr="00052A2B" w:rsidRDefault="00052A2B" w:rsidP="001019DA">
      <w:pPr>
        <w:pStyle w:val="ListParagraph"/>
        <w:numPr>
          <w:ilvl w:val="0"/>
          <w:numId w:val="34"/>
        </w:numPr>
        <w:jc w:val="both"/>
        <w:rPr>
          <w:rFonts w:ascii="Century Gothic" w:hAnsi="Century Gothic"/>
        </w:rPr>
      </w:pPr>
      <w:r w:rsidRPr="00052A2B">
        <w:rPr>
          <w:rFonts w:ascii="Century Gothic" w:hAnsi="Century Gothic" w:cs="Arial"/>
        </w:rPr>
        <w:t>Participate in a team,</w:t>
      </w:r>
    </w:p>
    <w:p w14:paraId="330A1B37" w14:textId="77777777" w:rsidR="00052A2B" w:rsidRPr="00052A2B" w:rsidRDefault="00052A2B" w:rsidP="001019DA">
      <w:pPr>
        <w:pStyle w:val="ListParagraph"/>
        <w:numPr>
          <w:ilvl w:val="0"/>
          <w:numId w:val="34"/>
        </w:numPr>
        <w:jc w:val="both"/>
        <w:rPr>
          <w:rFonts w:ascii="Century Gothic" w:hAnsi="Century Gothic"/>
        </w:rPr>
      </w:pPr>
      <w:r w:rsidRPr="00052A2B">
        <w:rPr>
          <w:rFonts w:ascii="Century Gothic" w:hAnsi="Century Gothic" w:cs="Arial"/>
        </w:rPr>
        <w:t>Apply occupation-specific knowledge and skills to professional work situations, and</w:t>
      </w:r>
    </w:p>
    <w:p w14:paraId="4103F920" w14:textId="77777777" w:rsidR="00052A2B" w:rsidRPr="00052A2B" w:rsidRDefault="00052A2B" w:rsidP="001019DA">
      <w:pPr>
        <w:pStyle w:val="ListParagraph"/>
        <w:numPr>
          <w:ilvl w:val="0"/>
          <w:numId w:val="34"/>
        </w:numPr>
        <w:jc w:val="both"/>
        <w:rPr>
          <w:rFonts w:ascii="Century Gothic" w:hAnsi="Century Gothic"/>
        </w:rPr>
      </w:pPr>
      <w:r w:rsidRPr="00052A2B">
        <w:rPr>
          <w:rFonts w:ascii="Century Gothic" w:hAnsi="Century Gothic" w:cs="Arial"/>
        </w:rPr>
        <w:t xml:space="preserve">Implement strategies to manage their personal career development. </w:t>
      </w:r>
    </w:p>
    <w:p w14:paraId="03556F0A" w14:textId="45676EC5" w:rsidR="005D4446" w:rsidRDefault="00052A2B" w:rsidP="001019DA">
      <w:pPr>
        <w:jc w:val="both"/>
        <w:rPr>
          <w:rFonts w:cs="Arial"/>
          <w:sz w:val="22"/>
          <w:szCs w:val="22"/>
        </w:rPr>
      </w:pPr>
      <w:r w:rsidRPr="00052A2B">
        <w:rPr>
          <w:rFonts w:cs="Arial"/>
          <w:sz w:val="22"/>
          <w:szCs w:val="22"/>
        </w:rPr>
        <w:t xml:space="preserve">The PY program must be completed over 12 calendar months, with reasonable provision for vacation periods. The structure of the program is inclusive of: </w:t>
      </w:r>
    </w:p>
    <w:p w14:paraId="2C11637E" w14:textId="77777777" w:rsidR="008A01FD" w:rsidRDefault="008A01FD" w:rsidP="001019DA">
      <w:pPr>
        <w:jc w:val="both"/>
        <w:rPr>
          <w:rFonts w:cs="Arial"/>
          <w:sz w:val="22"/>
          <w:szCs w:val="22"/>
        </w:rPr>
      </w:pPr>
    </w:p>
    <w:p w14:paraId="6E0DBC7C" w14:textId="77777777" w:rsidR="005D4446" w:rsidRPr="005D4446" w:rsidRDefault="00052A2B" w:rsidP="001019DA">
      <w:pPr>
        <w:pStyle w:val="ListParagraph"/>
        <w:numPr>
          <w:ilvl w:val="0"/>
          <w:numId w:val="35"/>
        </w:numPr>
        <w:jc w:val="both"/>
        <w:rPr>
          <w:rFonts w:ascii="Century Gothic" w:hAnsi="Century Gothic"/>
        </w:rPr>
      </w:pPr>
      <w:r w:rsidRPr="005D4446">
        <w:rPr>
          <w:rFonts w:ascii="Century Gothic" w:hAnsi="Century Gothic" w:cs="Arial"/>
        </w:rPr>
        <w:t>An online orientation provided by EEA (the link to this orientation is given to students from the partner)</w:t>
      </w:r>
    </w:p>
    <w:p w14:paraId="438F9855" w14:textId="77777777" w:rsidR="005D4446" w:rsidRPr="005D4446" w:rsidRDefault="00052A2B" w:rsidP="001019DA">
      <w:pPr>
        <w:pStyle w:val="ListParagraph"/>
        <w:numPr>
          <w:ilvl w:val="0"/>
          <w:numId w:val="35"/>
        </w:numPr>
        <w:jc w:val="both"/>
        <w:rPr>
          <w:rFonts w:ascii="Century Gothic" w:hAnsi="Century Gothic"/>
        </w:rPr>
      </w:pPr>
      <w:r w:rsidRPr="005D4446">
        <w:rPr>
          <w:rFonts w:ascii="Century Gothic" w:hAnsi="Century Gothic" w:cs="Arial"/>
        </w:rPr>
        <w:t>A PY Partner orientation,</w:t>
      </w:r>
    </w:p>
    <w:p w14:paraId="5D1FB82D" w14:textId="77777777" w:rsidR="005D4446" w:rsidRPr="005D4446" w:rsidRDefault="00052A2B" w:rsidP="001019DA">
      <w:pPr>
        <w:pStyle w:val="ListParagraph"/>
        <w:numPr>
          <w:ilvl w:val="0"/>
          <w:numId w:val="35"/>
        </w:numPr>
        <w:jc w:val="both"/>
        <w:rPr>
          <w:rFonts w:ascii="Century Gothic" w:hAnsi="Century Gothic"/>
        </w:rPr>
      </w:pPr>
      <w:r w:rsidRPr="005D4446">
        <w:rPr>
          <w:rFonts w:ascii="Century Gothic" w:hAnsi="Century Gothic" w:cs="Arial"/>
        </w:rPr>
        <w:t>Practical classroom-based training and workshops provided by an accredited provider of education (a Professional Year Partner),</w:t>
      </w:r>
    </w:p>
    <w:p w14:paraId="5C93C49B" w14:textId="77777777" w:rsidR="005D4446" w:rsidRPr="005D4446" w:rsidRDefault="00052A2B" w:rsidP="001019DA">
      <w:pPr>
        <w:pStyle w:val="ListParagraph"/>
        <w:numPr>
          <w:ilvl w:val="0"/>
          <w:numId w:val="35"/>
        </w:numPr>
        <w:jc w:val="both"/>
        <w:rPr>
          <w:rFonts w:ascii="Century Gothic" w:hAnsi="Century Gothic"/>
        </w:rPr>
      </w:pPr>
      <w:r w:rsidRPr="005D4446">
        <w:rPr>
          <w:rFonts w:ascii="Century Gothic" w:hAnsi="Century Gothic" w:cs="Arial"/>
        </w:rPr>
        <w:t>A supervised work placement that must span a period that totals at least twelve weeks’ exposure to the workplace, the equivalent of a standard full time working week (456-480 hours total) in the engineer’s discipline within a Host Company. Where the work placement is an employment arrangement it must meet relevant workplace relations law,</w:t>
      </w:r>
    </w:p>
    <w:p w14:paraId="5583DBD3" w14:textId="7692E2C9" w:rsidR="005D4446" w:rsidRPr="005D4446" w:rsidRDefault="00052A2B" w:rsidP="001019DA">
      <w:pPr>
        <w:pStyle w:val="ListParagraph"/>
        <w:numPr>
          <w:ilvl w:val="0"/>
          <w:numId w:val="35"/>
        </w:numPr>
        <w:jc w:val="both"/>
        <w:rPr>
          <w:rFonts w:ascii="Century Gothic" w:hAnsi="Century Gothic"/>
        </w:rPr>
      </w:pPr>
      <w:r w:rsidRPr="005D4446">
        <w:rPr>
          <w:rFonts w:ascii="Century Gothic" w:hAnsi="Century Gothic" w:cs="Arial"/>
        </w:rPr>
        <w:t xml:space="preserve">A Work Placement Report describing the activities undertaken by the participant within the work placement and benefits taken into the placement from the learnings in PY. </w:t>
      </w:r>
    </w:p>
    <w:p w14:paraId="45FD5F27" w14:textId="68B7E57C" w:rsidR="009E292F" w:rsidRDefault="4608316C" w:rsidP="00CC4EB7">
      <w:pPr>
        <w:ind w:left="360"/>
        <w:jc w:val="both"/>
        <w:rPr>
          <w:rFonts w:cs="Arial"/>
          <w:sz w:val="22"/>
          <w:szCs w:val="22"/>
        </w:rPr>
      </w:pPr>
      <w:r w:rsidRPr="005D4446">
        <w:rPr>
          <w:rFonts w:cs="Arial"/>
          <w:sz w:val="22"/>
          <w:szCs w:val="22"/>
        </w:rPr>
        <w:lastRenderedPageBreak/>
        <w:t xml:space="preserve">The program runs for 44 weeks and is split into 32 weeks of theoretical knowledge (part time study) followed by a </w:t>
      </w:r>
      <w:r w:rsidR="00CC4EB7" w:rsidRPr="005D4446">
        <w:rPr>
          <w:rFonts w:cs="Arial"/>
          <w:sz w:val="22"/>
          <w:szCs w:val="22"/>
        </w:rPr>
        <w:t>12-week</w:t>
      </w:r>
      <w:r w:rsidRPr="005D4446">
        <w:rPr>
          <w:rFonts w:cs="Arial"/>
          <w:sz w:val="22"/>
          <w:szCs w:val="22"/>
        </w:rPr>
        <w:t xml:space="preserve"> unpaid internship. Upon successful completion of the program, graduates may be eligible for migration points.</w:t>
      </w:r>
      <w:bookmarkStart w:id="17" w:name="_Toc191046625"/>
    </w:p>
    <w:p w14:paraId="587DC75E" w14:textId="52BCDEF4" w:rsidR="009E292F" w:rsidRPr="002E4DBD" w:rsidRDefault="009E292F" w:rsidP="001019DA">
      <w:pPr>
        <w:pStyle w:val="Heading1"/>
        <w:numPr>
          <w:ilvl w:val="0"/>
          <w:numId w:val="11"/>
        </w:numPr>
        <w:jc w:val="both"/>
        <w:rPr>
          <w:b/>
          <w:bCs/>
        </w:rPr>
      </w:pPr>
      <w:bookmarkStart w:id="18" w:name="_Toc209429085"/>
      <w:r w:rsidRPr="002E4DBD">
        <w:rPr>
          <w:b/>
          <w:bCs/>
        </w:rPr>
        <w:t>PROCEDURE</w:t>
      </w:r>
      <w:bookmarkEnd w:id="17"/>
      <w:bookmarkEnd w:id="18"/>
    </w:p>
    <w:p w14:paraId="78A0BA99" w14:textId="2B412AB6" w:rsidR="008A01FD" w:rsidRPr="007D001A" w:rsidRDefault="008A01FD" w:rsidP="007D001A">
      <w:pPr>
        <w:pStyle w:val="Heading3"/>
        <w:rPr>
          <w:rFonts w:ascii="Century Gothic" w:hAnsi="Century Gothic"/>
          <w:b/>
          <w:bCs/>
        </w:rPr>
      </w:pPr>
      <w:bookmarkStart w:id="19" w:name="_Toc209429086"/>
      <w:r w:rsidRPr="007D001A">
        <w:rPr>
          <w:rFonts w:ascii="Century Gothic" w:hAnsi="Century Gothic"/>
          <w:b/>
          <w:bCs/>
        </w:rPr>
        <w:t xml:space="preserve">32-Week Course </w:t>
      </w:r>
      <w:r w:rsidR="00C52C6F" w:rsidRPr="007D001A">
        <w:rPr>
          <w:rFonts w:ascii="Century Gothic" w:hAnsi="Century Gothic"/>
          <w:b/>
          <w:bCs/>
        </w:rPr>
        <w:t xml:space="preserve">Delivery </w:t>
      </w:r>
      <w:r w:rsidRPr="007D001A">
        <w:rPr>
          <w:rFonts w:ascii="Century Gothic" w:hAnsi="Century Gothic"/>
          <w:b/>
          <w:bCs/>
        </w:rPr>
        <w:t>Overview</w:t>
      </w:r>
      <w:bookmarkEnd w:id="19"/>
    </w:p>
    <w:p w14:paraId="492380AF" w14:textId="77777777" w:rsidR="008A01FD" w:rsidRPr="00C52C6F" w:rsidRDefault="008A01FD" w:rsidP="001019DA">
      <w:pPr>
        <w:jc w:val="both"/>
        <w:rPr>
          <w:sz w:val="22"/>
        </w:rPr>
      </w:pPr>
      <w:r w:rsidRPr="00C52C6F">
        <w:rPr>
          <w:sz w:val="22"/>
        </w:rPr>
        <w:t>To successfully complete the Study Course component of the program, students must attend 100% of the 32 class weeks and complete all assessment tasks. All class-based requirements must be successfully completed before an internship placement can commence.</w:t>
      </w:r>
    </w:p>
    <w:p w14:paraId="5D42FEF7" w14:textId="77777777" w:rsidR="008A01FD" w:rsidRPr="00C52C6F" w:rsidRDefault="008A01FD" w:rsidP="001019DA">
      <w:pPr>
        <w:jc w:val="both"/>
        <w:rPr>
          <w:b/>
          <w:bCs/>
          <w:sz w:val="22"/>
        </w:rPr>
      </w:pPr>
    </w:p>
    <w:p w14:paraId="67521D3F" w14:textId="6C62E2A1" w:rsidR="008A01FD" w:rsidRPr="00C52C6F" w:rsidRDefault="008A01FD" w:rsidP="001019DA">
      <w:pPr>
        <w:jc w:val="both"/>
        <w:rPr>
          <w:sz w:val="22"/>
        </w:rPr>
      </w:pPr>
      <w:r w:rsidRPr="00C52C6F">
        <w:rPr>
          <w:bCs/>
          <w:sz w:val="22"/>
        </w:rPr>
        <w:t>Course Modules:</w:t>
      </w:r>
      <w:r w:rsidRPr="00C52C6F">
        <w:rPr>
          <w:b/>
          <w:bCs/>
          <w:sz w:val="22"/>
        </w:rPr>
        <w:t xml:space="preserve"> </w:t>
      </w:r>
      <w:r w:rsidRPr="00C52C6F">
        <w:rPr>
          <w:sz w:val="22"/>
        </w:rPr>
        <w:t>The program consists of the following eight modules:</w:t>
      </w:r>
    </w:p>
    <w:p w14:paraId="289D1C1F" w14:textId="77777777" w:rsidR="008A01FD" w:rsidRPr="00C52C6F" w:rsidRDefault="008A01FD" w:rsidP="001019DA">
      <w:pPr>
        <w:jc w:val="both"/>
        <w:rPr>
          <w:b/>
          <w:bCs/>
          <w:sz w:val="22"/>
        </w:rPr>
      </w:pPr>
    </w:p>
    <w:p w14:paraId="5438EF00" w14:textId="77777777" w:rsidR="008A01FD" w:rsidRPr="00C52C6F" w:rsidRDefault="008A01FD" w:rsidP="001019DA">
      <w:pPr>
        <w:numPr>
          <w:ilvl w:val="0"/>
          <w:numId w:val="37"/>
        </w:numPr>
        <w:spacing w:after="160" w:line="259" w:lineRule="auto"/>
        <w:jc w:val="both"/>
        <w:rPr>
          <w:sz w:val="22"/>
        </w:rPr>
      </w:pPr>
      <w:r w:rsidRPr="00C52C6F">
        <w:rPr>
          <w:sz w:val="22"/>
        </w:rPr>
        <w:t>Understanding Australian Workplace Law</w:t>
      </w:r>
    </w:p>
    <w:p w14:paraId="2735A92B" w14:textId="77777777" w:rsidR="008A01FD" w:rsidRPr="00C52C6F" w:rsidRDefault="008A01FD" w:rsidP="001019DA">
      <w:pPr>
        <w:numPr>
          <w:ilvl w:val="0"/>
          <w:numId w:val="37"/>
        </w:numPr>
        <w:spacing w:after="160" w:line="259" w:lineRule="auto"/>
        <w:jc w:val="both"/>
        <w:rPr>
          <w:sz w:val="22"/>
        </w:rPr>
      </w:pPr>
      <w:r w:rsidRPr="00C52C6F">
        <w:rPr>
          <w:sz w:val="22"/>
        </w:rPr>
        <w:t>Personal Management &amp; Personal Branding</w:t>
      </w:r>
    </w:p>
    <w:p w14:paraId="50A7AC1D" w14:textId="77777777" w:rsidR="008A01FD" w:rsidRPr="00C52C6F" w:rsidRDefault="008A01FD" w:rsidP="001019DA">
      <w:pPr>
        <w:numPr>
          <w:ilvl w:val="0"/>
          <w:numId w:val="37"/>
        </w:numPr>
        <w:spacing w:after="160" w:line="259" w:lineRule="auto"/>
        <w:jc w:val="both"/>
        <w:rPr>
          <w:sz w:val="22"/>
        </w:rPr>
      </w:pPr>
      <w:r w:rsidRPr="00C52C6F">
        <w:rPr>
          <w:sz w:val="22"/>
        </w:rPr>
        <w:t>Dynamic Work Exploration</w:t>
      </w:r>
    </w:p>
    <w:p w14:paraId="4B82B80A" w14:textId="77777777" w:rsidR="008A01FD" w:rsidRPr="00C52C6F" w:rsidRDefault="008A01FD" w:rsidP="001019DA">
      <w:pPr>
        <w:numPr>
          <w:ilvl w:val="0"/>
          <w:numId w:val="37"/>
        </w:numPr>
        <w:spacing w:after="160" w:line="259" w:lineRule="auto"/>
        <w:jc w:val="both"/>
        <w:rPr>
          <w:sz w:val="22"/>
        </w:rPr>
      </w:pPr>
      <w:r w:rsidRPr="00C52C6F">
        <w:rPr>
          <w:sz w:val="22"/>
        </w:rPr>
        <w:t>Career Building</w:t>
      </w:r>
    </w:p>
    <w:p w14:paraId="70DB39DC" w14:textId="77777777" w:rsidR="008A01FD" w:rsidRPr="00C52C6F" w:rsidRDefault="008A01FD" w:rsidP="001019DA">
      <w:pPr>
        <w:numPr>
          <w:ilvl w:val="0"/>
          <w:numId w:val="37"/>
        </w:numPr>
        <w:spacing w:after="160" w:line="259" w:lineRule="auto"/>
        <w:jc w:val="both"/>
        <w:rPr>
          <w:sz w:val="22"/>
        </w:rPr>
      </w:pPr>
      <w:r w:rsidRPr="00C52C6F">
        <w:rPr>
          <w:sz w:val="22"/>
        </w:rPr>
        <w:t>Career Success Australia</w:t>
      </w:r>
    </w:p>
    <w:p w14:paraId="2547B225" w14:textId="77777777" w:rsidR="008A01FD" w:rsidRPr="00C52C6F" w:rsidRDefault="008A01FD" w:rsidP="001019DA">
      <w:pPr>
        <w:numPr>
          <w:ilvl w:val="0"/>
          <w:numId w:val="37"/>
        </w:numPr>
        <w:spacing w:after="160" w:line="259" w:lineRule="auto"/>
        <w:jc w:val="both"/>
        <w:rPr>
          <w:sz w:val="22"/>
        </w:rPr>
      </w:pPr>
      <w:r w:rsidRPr="00C52C6F">
        <w:rPr>
          <w:sz w:val="22"/>
        </w:rPr>
        <w:t>Networking and Industry Engagement</w:t>
      </w:r>
    </w:p>
    <w:p w14:paraId="4A8A0DC8" w14:textId="77777777" w:rsidR="008A01FD" w:rsidRPr="00C52C6F" w:rsidRDefault="008A01FD" w:rsidP="001019DA">
      <w:pPr>
        <w:numPr>
          <w:ilvl w:val="0"/>
          <w:numId w:val="37"/>
        </w:numPr>
        <w:spacing w:after="160" w:line="259" w:lineRule="auto"/>
        <w:jc w:val="both"/>
        <w:rPr>
          <w:sz w:val="22"/>
        </w:rPr>
      </w:pPr>
      <w:r w:rsidRPr="00C52C6F">
        <w:rPr>
          <w:sz w:val="22"/>
        </w:rPr>
        <w:t>The Australian Employment Market</w:t>
      </w:r>
    </w:p>
    <w:p w14:paraId="2D3F916B" w14:textId="77777777" w:rsidR="008A01FD" w:rsidRPr="00C52C6F" w:rsidRDefault="008A01FD" w:rsidP="001019DA">
      <w:pPr>
        <w:numPr>
          <w:ilvl w:val="0"/>
          <w:numId w:val="37"/>
        </w:numPr>
        <w:spacing w:line="259" w:lineRule="auto"/>
        <w:jc w:val="both"/>
        <w:rPr>
          <w:sz w:val="22"/>
        </w:rPr>
      </w:pPr>
      <w:r w:rsidRPr="00C52C6F">
        <w:rPr>
          <w:sz w:val="22"/>
        </w:rPr>
        <w:t>Internship Preparation</w:t>
      </w:r>
    </w:p>
    <w:p w14:paraId="3D1685F4" w14:textId="77777777" w:rsidR="00C52C6F" w:rsidRPr="00C52C6F" w:rsidRDefault="00C52C6F" w:rsidP="001019DA">
      <w:pPr>
        <w:jc w:val="both"/>
        <w:rPr>
          <w:sz w:val="22"/>
          <w:lang w:val="en-AU"/>
        </w:rPr>
      </w:pPr>
    </w:p>
    <w:p w14:paraId="7166EC12" w14:textId="77777777" w:rsidR="003D370F" w:rsidRPr="005F7623" w:rsidRDefault="00CC70C4" w:rsidP="001019DA">
      <w:pPr>
        <w:pStyle w:val="Heading3"/>
        <w:jc w:val="both"/>
        <w:rPr>
          <w:rFonts w:ascii="Century Gothic" w:hAnsi="Century Gothic"/>
          <w:b/>
          <w:bCs/>
          <w:lang w:val="en-AU"/>
        </w:rPr>
      </w:pPr>
      <w:bookmarkStart w:id="20" w:name="_Toc209429087"/>
      <w:r w:rsidRPr="005F7623">
        <w:rPr>
          <w:rFonts w:ascii="Century Gothic" w:hAnsi="Century Gothic"/>
          <w:b/>
          <w:bCs/>
          <w:lang w:val="en-AU"/>
        </w:rPr>
        <w:t>Enrolments</w:t>
      </w:r>
      <w:bookmarkEnd w:id="20"/>
    </w:p>
    <w:p w14:paraId="44C11217" w14:textId="5D380B3D" w:rsidR="00CC70C4" w:rsidRDefault="00CC70C4" w:rsidP="001019DA">
      <w:pPr>
        <w:jc w:val="both"/>
        <w:rPr>
          <w:sz w:val="22"/>
          <w:szCs w:val="22"/>
          <w:lang w:val="en-AU"/>
        </w:rPr>
      </w:pPr>
      <w:r w:rsidRPr="009E292F">
        <w:rPr>
          <w:sz w:val="22"/>
          <w:szCs w:val="22"/>
          <w:lang w:val="en-AU"/>
        </w:rPr>
        <w:t xml:space="preserve">EEA approves each Professional Year application. When an application is approved, EEA advises the student and Albright Institute. Albright Institute then provides each student with a </w:t>
      </w:r>
      <w:r w:rsidR="003D370F" w:rsidRPr="009E292F">
        <w:rPr>
          <w:sz w:val="22"/>
          <w:szCs w:val="22"/>
          <w:lang w:val="en-AU"/>
        </w:rPr>
        <w:t xml:space="preserve">Letter of Offer, which also is to include the location, dates and times of the Professional Year classes. The enrolments team also ensure an Albright Institute Business Development Manager (BDM) is assigned to each student application. It is the BDM responsibility to conduct pre-screening interviews for each student to ensure their expectations are aligned to the Professional Year program and that they have the necessary availability to undertake the </w:t>
      </w:r>
      <w:r w:rsidR="005F7623" w:rsidRPr="009E292F">
        <w:rPr>
          <w:sz w:val="22"/>
          <w:szCs w:val="22"/>
          <w:lang w:val="en-AU"/>
        </w:rPr>
        <w:t>32-week</w:t>
      </w:r>
      <w:r w:rsidR="003D370F" w:rsidRPr="009E292F">
        <w:rPr>
          <w:sz w:val="22"/>
          <w:szCs w:val="22"/>
          <w:lang w:val="en-AU"/>
        </w:rPr>
        <w:t xml:space="preserve"> course and </w:t>
      </w:r>
      <w:proofErr w:type="gramStart"/>
      <w:r w:rsidR="003D370F" w:rsidRPr="009E292F">
        <w:rPr>
          <w:sz w:val="22"/>
          <w:szCs w:val="22"/>
          <w:lang w:val="en-AU"/>
        </w:rPr>
        <w:t>12 week</w:t>
      </w:r>
      <w:proofErr w:type="gramEnd"/>
      <w:r w:rsidR="003D370F" w:rsidRPr="009E292F">
        <w:rPr>
          <w:sz w:val="22"/>
          <w:szCs w:val="22"/>
          <w:lang w:val="en-AU"/>
        </w:rPr>
        <w:t xml:space="preserve"> full-time internship.</w:t>
      </w:r>
    </w:p>
    <w:p w14:paraId="3E800A14" w14:textId="77777777" w:rsidR="007D001A" w:rsidRPr="005F7623" w:rsidRDefault="007D001A" w:rsidP="001019DA">
      <w:pPr>
        <w:jc w:val="both"/>
        <w:rPr>
          <w:sz w:val="22"/>
          <w:szCs w:val="22"/>
          <w:lang w:val="en-AU"/>
        </w:rPr>
      </w:pPr>
    </w:p>
    <w:p w14:paraId="2E7B7737" w14:textId="2724AB01" w:rsidR="008A01FD" w:rsidRPr="005F7623" w:rsidRDefault="008A01FD" w:rsidP="001019DA">
      <w:pPr>
        <w:pStyle w:val="Heading3"/>
        <w:jc w:val="both"/>
        <w:rPr>
          <w:rFonts w:ascii="Century Gothic" w:hAnsi="Century Gothic"/>
          <w:b/>
          <w:bCs/>
          <w:lang w:val="en-AU"/>
        </w:rPr>
      </w:pPr>
      <w:bookmarkStart w:id="21" w:name="_Toc209429088"/>
      <w:r w:rsidRPr="005F7623">
        <w:rPr>
          <w:rFonts w:ascii="Century Gothic" w:hAnsi="Century Gothic"/>
          <w:b/>
          <w:bCs/>
          <w:lang w:val="en-AU"/>
        </w:rPr>
        <w:t>EEA Cohort Identifier Codes</w:t>
      </w:r>
      <w:bookmarkEnd w:id="21"/>
    </w:p>
    <w:p w14:paraId="4BBF8C58" w14:textId="7FEE9FB1" w:rsidR="008A01FD" w:rsidRDefault="008A01FD" w:rsidP="001019DA">
      <w:pPr>
        <w:jc w:val="both"/>
        <w:rPr>
          <w:sz w:val="22"/>
          <w:szCs w:val="22"/>
          <w:lang w:val="en-AU"/>
        </w:rPr>
      </w:pPr>
      <w:r w:rsidRPr="005D4446">
        <w:rPr>
          <w:sz w:val="22"/>
          <w:szCs w:val="22"/>
          <w:lang w:val="en-AU"/>
        </w:rPr>
        <w:t xml:space="preserve">Each PY cohort intake is assigned a unique EEA identifier code. These identifier codes are required for invoicing and reporting purposes. Identifier codes consist of three to four letters of the </w:t>
      </w:r>
      <w:proofErr w:type="gramStart"/>
      <w:r w:rsidRPr="005D4446">
        <w:rPr>
          <w:sz w:val="22"/>
          <w:szCs w:val="22"/>
          <w:lang w:val="en-AU"/>
        </w:rPr>
        <w:t>partner</w:t>
      </w:r>
      <w:proofErr w:type="gramEnd"/>
      <w:r w:rsidRPr="005D4446">
        <w:rPr>
          <w:sz w:val="22"/>
          <w:szCs w:val="22"/>
          <w:lang w:val="en-AU"/>
        </w:rPr>
        <w:t xml:space="preserve"> name, the state in which the partner is located and the commencement date of the cohort. Please see the below example: Partner code – State – Date – Month – Year Examples: PYPVIC01012022</w:t>
      </w:r>
    </w:p>
    <w:p w14:paraId="604464EE" w14:textId="77777777" w:rsidR="005F7623" w:rsidRPr="005F7623" w:rsidRDefault="005F7623" w:rsidP="001019DA">
      <w:pPr>
        <w:jc w:val="both"/>
        <w:rPr>
          <w:sz w:val="22"/>
          <w:szCs w:val="22"/>
          <w:lang w:val="en-AU"/>
        </w:rPr>
      </w:pPr>
    </w:p>
    <w:p w14:paraId="7ABA6E97" w14:textId="4F04C8F2" w:rsidR="008A01FD" w:rsidRPr="005F7623" w:rsidRDefault="008A01FD" w:rsidP="001019DA">
      <w:pPr>
        <w:pStyle w:val="Heading3"/>
        <w:jc w:val="both"/>
        <w:rPr>
          <w:rFonts w:ascii="Century Gothic" w:hAnsi="Century Gothic"/>
          <w:b/>
          <w:bCs/>
        </w:rPr>
      </w:pPr>
      <w:bookmarkStart w:id="22" w:name="_Toc209429089"/>
      <w:r w:rsidRPr="005F7623">
        <w:rPr>
          <w:rFonts w:ascii="Century Gothic" w:hAnsi="Century Gothic"/>
          <w:b/>
          <w:bCs/>
        </w:rPr>
        <w:t>Induction and Orientation</w:t>
      </w:r>
      <w:bookmarkEnd w:id="22"/>
    </w:p>
    <w:p w14:paraId="10A7AA65" w14:textId="7945A598" w:rsidR="008A01FD" w:rsidRDefault="008A01FD" w:rsidP="001019DA">
      <w:pPr>
        <w:jc w:val="both"/>
        <w:rPr>
          <w:sz w:val="22"/>
        </w:rPr>
      </w:pPr>
      <w:r w:rsidRPr="00C52C6F">
        <w:rPr>
          <w:sz w:val="22"/>
        </w:rPr>
        <w:t xml:space="preserve">Students are required to complete the Albright Institute orientation. </w:t>
      </w:r>
      <w:r w:rsidR="00041AF2">
        <w:rPr>
          <w:sz w:val="22"/>
        </w:rPr>
        <w:t>The Orientation is to be held as part of the 1</w:t>
      </w:r>
      <w:r w:rsidR="00041AF2" w:rsidRPr="00041AF2">
        <w:rPr>
          <w:sz w:val="22"/>
          <w:vertAlign w:val="superscript"/>
        </w:rPr>
        <w:t>st</w:t>
      </w:r>
      <w:r w:rsidR="00041AF2">
        <w:rPr>
          <w:sz w:val="22"/>
        </w:rPr>
        <w:t xml:space="preserve"> day of class, for all new commencing Professional Year students.</w:t>
      </w:r>
      <w:r w:rsidR="003D370F">
        <w:rPr>
          <w:sz w:val="22"/>
        </w:rPr>
        <w:t xml:space="preserve"> The Orientation is conducted by the Albright Institute Campus Manager and Professional Year Trainer.</w:t>
      </w:r>
    </w:p>
    <w:p w14:paraId="59DB445A" w14:textId="77777777" w:rsidR="005F7623" w:rsidRPr="005F7623" w:rsidRDefault="005F7623" w:rsidP="001019DA">
      <w:pPr>
        <w:jc w:val="both"/>
        <w:rPr>
          <w:sz w:val="22"/>
        </w:rPr>
      </w:pPr>
    </w:p>
    <w:p w14:paraId="4F9FED19" w14:textId="3D160417" w:rsidR="008A01FD" w:rsidRPr="005F7623" w:rsidRDefault="008A01FD" w:rsidP="001019DA">
      <w:pPr>
        <w:pStyle w:val="Heading3"/>
        <w:jc w:val="both"/>
        <w:rPr>
          <w:rFonts w:ascii="Century Gothic" w:hAnsi="Century Gothic"/>
          <w:b/>
          <w:bCs/>
        </w:rPr>
      </w:pPr>
      <w:bookmarkStart w:id="23" w:name="_Toc209429090"/>
      <w:r w:rsidRPr="005F7623">
        <w:rPr>
          <w:rFonts w:ascii="Century Gothic" w:hAnsi="Century Gothic"/>
          <w:b/>
          <w:bCs/>
        </w:rPr>
        <w:lastRenderedPageBreak/>
        <w:t>Rolling Cohorts</w:t>
      </w:r>
      <w:bookmarkEnd w:id="23"/>
    </w:p>
    <w:p w14:paraId="4DE8E304" w14:textId="3A3898E8" w:rsidR="008A01FD" w:rsidRDefault="008A01FD" w:rsidP="001019DA">
      <w:pPr>
        <w:jc w:val="both"/>
        <w:rPr>
          <w:sz w:val="22"/>
        </w:rPr>
      </w:pPr>
      <w:r w:rsidRPr="00C52C6F">
        <w:rPr>
          <w:sz w:val="22"/>
        </w:rPr>
        <w:t>Classes will contain between 6 and 25 participants per cohort. Cohorts can commence their studies at any starting point of a 4-week module, meaning class sizes may vary. Professional Year participants may undertake classes alongside participants from other Professional Associations, including EEA and ACS.</w:t>
      </w:r>
    </w:p>
    <w:p w14:paraId="7CC8A77A" w14:textId="77777777" w:rsidR="005F7623" w:rsidRPr="005F7623" w:rsidRDefault="005F7623" w:rsidP="001019DA">
      <w:pPr>
        <w:jc w:val="both"/>
        <w:rPr>
          <w:sz w:val="22"/>
        </w:rPr>
      </w:pPr>
    </w:p>
    <w:p w14:paraId="52820330" w14:textId="5A0A082F" w:rsidR="008A01FD" w:rsidRPr="005F7623" w:rsidRDefault="008A01FD" w:rsidP="001019DA">
      <w:pPr>
        <w:pStyle w:val="Heading3"/>
        <w:jc w:val="both"/>
        <w:rPr>
          <w:rFonts w:ascii="Century Gothic" w:hAnsi="Century Gothic"/>
          <w:b/>
          <w:bCs/>
        </w:rPr>
      </w:pPr>
      <w:bookmarkStart w:id="24" w:name="_Toc209429091"/>
      <w:r w:rsidRPr="005F7623">
        <w:rPr>
          <w:rFonts w:ascii="Century Gothic" w:hAnsi="Century Gothic"/>
          <w:b/>
          <w:bCs/>
        </w:rPr>
        <w:t>Assessments</w:t>
      </w:r>
      <w:bookmarkEnd w:id="24"/>
    </w:p>
    <w:p w14:paraId="60C123D9" w14:textId="77777777" w:rsidR="008A01FD" w:rsidRPr="00C52C6F" w:rsidRDefault="008A01FD" w:rsidP="001019DA">
      <w:pPr>
        <w:jc w:val="both"/>
        <w:rPr>
          <w:sz w:val="22"/>
        </w:rPr>
      </w:pPr>
      <w:r w:rsidRPr="00C52C6F">
        <w:rPr>
          <w:sz w:val="22"/>
        </w:rPr>
        <w:t>Each week, students will engage with new topics and tasks within their modules. They must complete prescribed activities in class as part of their progress requirements. These activities will align with weekly content and require individual submissions. Tasks may be assigned as individual, partner, or group work, as specified in task instructions.</w:t>
      </w:r>
    </w:p>
    <w:p w14:paraId="7316846D" w14:textId="618B6254" w:rsidR="00041AF2" w:rsidRDefault="008A01FD" w:rsidP="001019DA">
      <w:pPr>
        <w:jc w:val="both"/>
        <w:rPr>
          <w:sz w:val="22"/>
        </w:rPr>
      </w:pPr>
      <w:r w:rsidRPr="00C52C6F">
        <w:rPr>
          <w:sz w:val="22"/>
        </w:rPr>
        <w:t>Assessments will be marked complete by training staff. Any incomplete assessments must be resubmitted during the course.</w:t>
      </w:r>
    </w:p>
    <w:p w14:paraId="5B580915" w14:textId="77777777" w:rsidR="005F7623" w:rsidRPr="005F7623" w:rsidRDefault="005F7623" w:rsidP="001019DA">
      <w:pPr>
        <w:jc w:val="both"/>
        <w:rPr>
          <w:sz w:val="22"/>
        </w:rPr>
      </w:pPr>
    </w:p>
    <w:p w14:paraId="65869152" w14:textId="275B4298" w:rsidR="008A01FD" w:rsidRPr="005F7623" w:rsidRDefault="008A01FD" w:rsidP="001019DA">
      <w:pPr>
        <w:pStyle w:val="Heading3"/>
        <w:jc w:val="both"/>
        <w:rPr>
          <w:rFonts w:ascii="Century Gothic" w:hAnsi="Century Gothic"/>
          <w:b/>
          <w:bCs/>
        </w:rPr>
      </w:pPr>
      <w:bookmarkStart w:id="25" w:name="_Toc209429092"/>
      <w:r w:rsidRPr="005F7623">
        <w:rPr>
          <w:rFonts w:ascii="Century Gothic" w:hAnsi="Century Gothic"/>
          <w:b/>
          <w:bCs/>
        </w:rPr>
        <w:t>Extensions and Submissions</w:t>
      </w:r>
      <w:bookmarkEnd w:id="25"/>
    </w:p>
    <w:p w14:paraId="7681F364" w14:textId="77777777" w:rsidR="008A01FD" w:rsidRPr="00C52C6F" w:rsidRDefault="008A01FD" w:rsidP="001019DA">
      <w:pPr>
        <w:jc w:val="both"/>
        <w:rPr>
          <w:sz w:val="22"/>
        </w:rPr>
      </w:pPr>
      <w:r w:rsidRPr="00C52C6F">
        <w:rPr>
          <w:sz w:val="22"/>
        </w:rPr>
        <w:t>Students must submit assessments in class. If an extension is required, they may negotiate to submit within seven days or the next class with trainer approval. Further extensions will only be granted under extenuating circumstances, such as medical, compassionate, or serious personal grounds.</w:t>
      </w:r>
    </w:p>
    <w:p w14:paraId="4B46F16D" w14:textId="77777777" w:rsidR="008A01FD" w:rsidRPr="00C52C6F" w:rsidRDefault="008A01FD" w:rsidP="001019DA">
      <w:pPr>
        <w:jc w:val="both"/>
        <w:rPr>
          <w:b/>
          <w:bCs/>
          <w:sz w:val="22"/>
        </w:rPr>
      </w:pPr>
    </w:p>
    <w:p w14:paraId="72634626" w14:textId="2EC4B455" w:rsidR="008A01FD" w:rsidRPr="005F7623" w:rsidRDefault="008A01FD" w:rsidP="001019DA">
      <w:pPr>
        <w:pStyle w:val="Heading3"/>
        <w:jc w:val="both"/>
        <w:rPr>
          <w:rFonts w:ascii="Century Gothic" w:hAnsi="Century Gothic"/>
          <w:b/>
          <w:bCs/>
        </w:rPr>
      </w:pPr>
      <w:bookmarkStart w:id="26" w:name="_Toc209429093"/>
      <w:r w:rsidRPr="005F7623">
        <w:rPr>
          <w:rFonts w:ascii="Century Gothic" w:hAnsi="Century Gothic"/>
          <w:b/>
          <w:bCs/>
        </w:rPr>
        <w:t>Progress Reviews (Weeks 24 &amp; 32)</w:t>
      </w:r>
      <w:bookmarkEnd w:id="26"/>
    </w:p>
    <w:p w14:paraId="658725B3" w14:textId="77777777" w:rsidR="008A01FD" w:rsidRPr="00C52C6F" w:rsidRDefault="008A01FD" w:rsidP="001019DA">
      <w:pPr>
        <w:jc w:val="both"/>
        <w:rPr>
          <w:sz w:val="22"/>
        </w:rPr>
      </w:pPr>
      <w:r w:rsidRPr="00C52C6F">
        <w:rPr>
          <w:sz w:val="22"/>
        </w:rPr>
        <w:t>At weeks 24 and 32, Student Services will conduct progress reviews to ensure students are on track. Trainers and students will receive feedback on any incomplete tasks. By week 32, all tasks must be completed.</w:t>
      </w:r>
    </w:p>
    <w:p w14:paraId="2B3B165F" w14:textId="77777777" w:rsidR="008A01FD" w:rsidRPr="00C52C6F" w:rsidRDefault="008A01FD" w:rsidP="001019DA">
      <w:pPr>
        <w:jc w:val="both"/>
        <w:rPr>
          <w:b/>
          <w:bCs/>
          <w:sz w:val="22"/>
        </w:rPr>
      </w:pPr>
    </w:p>
    <w:p w14:paraId="0CBE34A6" w14:textId="417E7429" w:rsidR="008A01FD" w:rsidRPr="005F7623" w:rsidRDefault="008A01FD" w:rsidP="001019DA">
      <w:pPr>
        <w:pStyle w:val="Heading3"/>
        <w:jc w:val="both"/>
        <w:rPr>
          <w:rFonts w:ascii="Century Gothic" w:hAnsi="Century Gothic"/>
          <w:b/>
          <w:bCs/>
        </w:rPr>
      </w:pPr>
      <w:bookmarkStart w:id="27" w:name="_Toc209429094"/>
      <w:r w:rsidRPr="005F7623">
        <w:rPr>
          <w:rFonts w:ascii="Century Gothic" w:hAnsi="Century Gothic"/>
          <w:b/>
          <w:bCs/>
        </w:rPr>
        <w:t>Professional Association Study Requirements</w:t>
      </w:r>
      <w:bookmarkEnd w:id="27"/>
    </w:p>
    <w:p w14:paraId="77F67801" w14:textId="77777777" w:rsidR="008A01FD" w:rsidRPr="00C52C6F" w:rsidRDefault="008A01FD" w:rsidP="001019DA">
      <w:pPr>
        <w:jc w:val="both"/>
        <w:rPr>
          <w:sz w:val="22"/>
        </w:rPr>
      </w:pPr>
      <w:r w:rsidRPr="00C52C6F">
        <w:rPr>
          <w:sz w:val="22"/>
        </w:rPr>
        <w:t>Students must also fulfill any study requirements set by their Professional Association during the Professional Year. It is the student’s responsibility to follow the current guidelines provided by their association.</w:t>
      </w:r>
    </w:p>
    <w:p w14:paraId="1F19922C" w14:textId="77777777" w:rsidR="008A01FD" w:rsidRPr="00C52C6F" w:rsidRDefault="008A01FD" w:rsidP="001019DA">
      <w:pPr>
        <w:jc w:val="both"/>
        <w:rPr>
          <w:b/>
          <w:bCs/>
          <w:sz w:val="22"/>
        </w:rPr>
      </w:pPr>
    </w:p>
    <w:p w14:paraId="4566A4F1" w14:textId="5C4A07C9" w:rsidR="008A01FD" w:rsidRPr="005F7623" w:rsidRDefault="008A01FD" w:rsidP="001019DA">
      <w:pPr>
        <w:pStyle w:val="Heading3"/>
        <w:jc w:val="both"/>
        <w:rPr>
          <w:rFonts w:ascii="Century Gothic" w:hAnsi="Century Gothic"/>
          <w:b/>
          <w:bCs/>
        </w:rPr>
      </w:pPr>
      <w:bookmarkStart w:id="28" w:name="_Toc209429095"/>
      <w:r w:rsidRPr="005F7623">
        <w:rPr>
          <w:rFonts w:ascii="Century Gothic" w:hAnsi="Century Gothic"/>
          <w:b/>
          <w:bCs/>
        </w:rPr>
        <w:t>Class Times and Breaks</w:t>
      </w:r>
      <w:bookmarkEnd w:id="28"/>
    </w:p>
    <w:p w14:paraId="0DD27EA8" w14:textId="77777777" w:rsidR="008A01FD" w:rsidRPr="00C52C6F" w:rsidRDefault="008A01FD" w:rsidP="001019DA">
      <w:pPr>
        <w:jc w:val="both"/>
        <w:rPr>
          <w:sz w:val="22"/>
        </w:rPr>
      </w:pPr>
      <w:r w:rsidRPr="00C52C6F">
        <w:rPr>
          <w:sz w:val="22"/>
        </w:rPr>
        <w:t>Professional Year classes occur once per week for eight hours, from </w:t>
      </w:r>
      <w:r w:rsidRPr="00C52C6F">
        <w:rPr>
          <w:bCs/>
          <w:sz w:val="22"/>
        </w:rPr>
        <w:t>9:00 AM to 5:30 PM</w:t>
      </w:r>
      <w:r w:rsidRPr="00C52C6F">
        <w:rPr>
          <w:sz w:val="22"/>
        </w:rPr>
        <w:t>. A short break is provided in the morning and afternoon, with a </w:t>
      </w:r>
      <w:r w:rsidRPr="00C52C6F">
        <w:rPr>
          <w:bCs/>
          <w:sz w:val="22"/>
        </w:rPr>
        <w:t>30-minute lunch break</w:t>
      </w:r>
      <w:r w:rsidRPr="00C52C6F">
        <w:rPr>
          <w:sz w:val="22"/>
        </w:rPr>
        <w:t>. This lunch period may be extended for special events or cultural observances. Albright Institute management may adjust class times if required for business purposes.</w:t>
      </w:r>
    </w:p>
    <w:p w14:paraId="5F51A2FC" w14:textId="77777777" w:rsidR="008A01FD" w:rsidRPr="00C52C6F" w:rsidRDefault="008A01FD" w:rsidP="001019DA">
      <w:pPr>
        <w:jc w:val="both"/>
        <w:rPr>
          <w:sz w:val="22"/>
        </w:rPr>
      </w:pPr>
      <w:r w:rsidRPr="00C52C6F">
        <w:rPr>
          <w:sz w:val="22"/>
        </w:rPr>
        <w:t>A Professional Year calendar, detailing teaching weeks and public holiday adjustments, is provided at the start of the first class.</w:t>
      </w:r>
    </w:p>
    <w:p w14:paraId="1C942B14" w14:textId="77777777" w:rsidR="008A01FD" w:rsidRPr="00C52C6F" w:rsidRDefault="008A01FD" w:rsidP="001019DA">
      <w:pPr>
        <w:jc w:val="both"/>
        <w:rPr>
          <w:b/>
          <w:bCs/>
          <w:sz w:val="22"/>
        </w:rPr>
      </w:pPr>
    </w:p>
    <w:p w14:paraId="59E680FA" w14:textId="3799A678" w:rsidR="008A01FD" w:rsidRPr="005F7623" w:rsidRDefault="008A01FD" w:rsidP="001019DA">
      <w:pPr>
        <w:pStyle w:val="Heading3"/>
        <w:jc w:val="both"/>
        <w:rPr>
          <w:rFonts w:ascii="Century Gothic" w:hAnsi="Century Gothic"/>
          <w:b/>
          <w:bCs/>
        </w:rPr>
      </w:pPr>
      <w:bookmarkStart w:id="29" w:name="_Toc209429096"/>
      <w:r w:rsidRPr="005F7623">
        <w:rPr>
          <w:rFonts w:ascii="Century Gothic" w:hAnsi="Century Gothic"/>
          <w:b/>
          <w:bCs/>
        </w:rPr>
        <w:t>Access &amp; Use of IT (Including BYOD)</w:t>
      </w:r>
      <w:bookmarkEnd w:id="29"/>
    </w:p>
    <w:p w14:paraId="7AEED214" w14:textId="77777777" w:rsidR="008A01FD" w:rsidRPr="00C52C6F" w:rsidRDefault="008A01FD" w:rsidP="001019DA">
      <w:pPr>
        <w:jc w:val="both"/>
        <w:rPr>
          <w:sz w:val="22"/>
        </w:rPr>
      </w:pPr>
      <w:r w:rsidRPr="00C52C6F">
        <w:rPr>
          <w:sz w:val="22"/>
        </w:rPr>
        <w:t>Students must have access to IT resources, including the Learning Management System (LMS) for course content, assessments, and attendance tracking.</w:t>
      </w:r>
    </w:p>
    <w:p w14:paraId="36FE529C" w14:textId="77777777" w:rsidR="008A01FD" w:rsidRPr="00C52C6F" w:rsidRDefault="008A01FD" w:rsidP="001019DA">
      <w:pPr>
        <w:jc w:val="both"/>
        <w:rPr>
          <w:sz w:val="22"/>
        </w:rPr>
      </w:pPr>
      <w:r w:rsidRPr="00C52C6F">
        <w:rPr>
          <w:sz w:val="22"/>
        </w:rPr>
        <w:t>Students are required to:</w:t>
      </w:r>
    </w:p>
    <w:p w14:paraId="55B40290" w14:textId="77777777" w:rsidR="008A01FD" w:rsidRPr="00C52C6F" w:rsidRDefault="008A01FD" w:rsidP="001019DA">
      <w:pPr>
        <w:numPr>
          <w:ilvl w:val="0"/>
          <w:numId w:val="38"/>
        </w:numPr>
        <w:spacing w:after="160" w:line="259" w:lineRule="auto"/>
        <w:jc w:val="both"/>
        <w:rPr>
          <w:sz w:val="22"/>
        </w:rPr>
      </w:pPr>
      <w:r w:rsidRPr="00C52C6F">
        <w:rPr>
          <w:sz w:val="22"/>
        </w:rPr>
        <w:t>Communicate via email and respond promptly to Student Services and training staff.</w:t>
      </w:r>
    </w:p>
    <w:p w14:paraId="75D32A9F" w14:textId="6E0D02A6" w:rsidR="008A01FD" w:rsidRPr="00C52C6F" w:rsidRDefault="008A01FD" w:rsidP="001019DA">
      <w:pPr>
        <w:numPr>
          <w:ilvl w:val="0"/>
          <w:numId w:val="38"/>
        </w:numPr>
        <w:spacing w:after="160" w:line="259" w:lineRule="auto"/>
        <w:jc w:val="both"/>
        <w:rPr>
          <w:sz w:val="22"/>
        </w:rPr>
      </w:pPr>
      <w:r w:rsidRPr="00C52C6F">
        <w:rPr>
          <w:sz w:val="22"/>
        </w:rPr>
        <w:t>Bring a</w:t>
      </w:r>
      <w:r>
        <w:rPr>
          <w:sz w:val="22"/>
        </w:rPr>
        <w:t xml:space="preserve"> </w:t>
      </w:r>
      <w:r w:rsidRPr="00C52C6F">
        <w:rPr>
          <w:bCs/>
          <w:sz w:val="22"/>
        </w:rPr>
        <w:t>fully charged</w:t>
      </w:r>
      <w:r>
        <w:rPr>
          <w:sz w:val="22"/>
        </w:rPr>
        <w:t xml:space="preserve">, </w:t>
      </w:r>
      <w:r w:rsidRPr="00C52C6F">
        <w:rPr>
          <w:sz w:val="22"/>
        </w:rPr>
        <w:t>personal computing device to each class.</w:t>
      </w:r>
    </w:p>
    <w:p w14:paraId="41170D93" w14:textId="5F40F3C2" w:rsidR="008A01FD" w:rsidRDefault="008A01FD" w:rsidP="001019DA">
      <w:pPr>
        <w:numPr>
          <w:ilvl w:val="0"/>
          <w:numId w:val="38"/>
        </w:numPr>
        <w:spacing w:after="160" w:line="259" w:lineRule="auto"/>
        <w:jc w:val="both"/>
        <w:rPr>
          <w:sz w:val="22"/>
        </w:rPr>
      </w:pPr>
      <w:r w:rsidRPr="00C52C6F">
        <w:rPr>
          <w:sz w:val="22"/>
        </w:rPr>
        <w:t>Bring headphones for activities requiring video content.</w:t>
      </w:r>
    </w:p>
    <w:p w14:paraId="48F1A258" w14:textId="680FDDE9" w:rsidR="008A01FD" w:rsidRPr="003D370F" w:rsidRDefault="008A01FD" w:rsidP="001019DA">
      <w:pPr>
        <w:numPr>
          <w:ilvl w:val="0"/>
          <w:numId w:val="38"/>
        </w:numPr>
        <w:spacing w:after="160" w:line="259" w:lineRule="auto"/>
        <w:jc w:val="both"/>
        <w:rPr>
          <w:sz w:val="22"/>
        </w:rPr>
      </w:pPr>
      <w:r>
        <w:rPr>
          <w:sz w:val="22"/>
        </w:rPr>
        <w:t xml:space="preserve">A mobile phone is not adequate for </w:t>
      </w:r>
      <w:r w:rsidR="009E292F">
        <w:rPr>
          <w:sz w:val="22"/>
        </w:rPr>
        <w:t>classroom</w:t>
      </w:r>
      <w:r>
        <w:rPr>
          <w:sz w:val="22"/>
        </w:rPr>
        <w:t xml:space="preserve"> activities.</w:t>
      </w:r>
    </w:p>
    <w:p w14:paraId="2C7084F7" w14:textId="24FE4033" w:rsidR="008A01FD" w:rsidRPr="005F7623" w:rsidRDefault="008A01FD" w:rsidP="001019DA">
      <w:pPr>
        <w:pStyle w:val="Heading3"/>
        <w:jc w:val="both"/>
        <w:rPr>
          <w:rFonts w:ascii="Century Gothic" w:hAnsi="Century Gothic"/>
          <w:b/>
          <w:bCs/>
        </w:rPr>
      </w:pPr>
      <w:bookmarkStart w:id="30" w:name="_Toc209429097"/>
      <w:r w:rsidRPr="005F7623">
        <w:rPr>
          <w:rFonts w:ascii="Century Gothic" w:hAnsi="Century Gothic"/>
          <w:b/>
          <w:bCs/>
        </w:rPr>
        <w:lastRenderedPageBreak/>
        <w:t>Attendance</w:t>
      </w:r>
      <w:bookmarkEnd w:id="30"/>
    </w:p>
    <w:p w14:paraId="4DCE5674" w14:textId="6AB03F97" w:rsidR="008A01FD" w:rsidRDefault="008A01FD" w:rsidP="001019DA">
      <w:pPr>
        <w:jc w:val="both"/>
        <w:rPr>
          <w:sz w:val="22"/>
        </w:rPr>
      </w:pPr>
      <w:r w:rsidRPr="00C52C6F">
        <w:rPr>
          <w:sz w:val="22"/>
        </w:rPr>
        <w:t>Students are expected to attend class as they would a workplace—arriving on time, returning from breaks promptly, and actively participating. Trainers will report repeated lateness, early departures, or lack of participation.</w:t>
      </w:r>
    </w:p>
    <w:p w14:paraId="512A3E44" w14:textId="77777777" w:rsidR="00CC4EB7" w:rsidRPr="005F7623" w:rsidRDefault="00CC4EB7" w:rsidP="001019DA">
      <w:pPr>
        <w:jc w:val="both"/>
        <w:rPr>
          <w:sz w:val="22"/>
        </w:rPr>
      </w:pPr>
    </w:p>
    <w:p w14:paraId="5041F49B" w14:textId="55D7AB2A" w:rsidR="008A01FD" w:rsidRPr="00CC4EB7" w:rsidRDefault="008A01FD" w:rsidP="00CC4EB7">
      <w:pPr>
        <w:pStyle w:val="Heading3"/>
        <w:rPr>
          <w:rFonts w:ascii="Century Gothic" w:hAnsi="Century Gothic"/>
          <w:b/>
          <w:bCs/>
        </w:rPr>
      </w:pPr>
      <w:bookmarkStart w:id="31" w:name="_Toc209429098"/>
      <w:r w:rsidRPr="00CC4EB7">
        <w:rPr>
          <w:rFonts w:ascii="Century Gothic" w:hAnsi="Century Gothic"/>
          <w:b/>
          <w:bCs/>
        </w:rPr>
        <w:t>Leave Policy</w:t>
      </w:r>
      <w:bookmarkEnd w:id="31"/>
    </w:p>
    <w:p w14:paraId="0D51B54E" w14:textId="77777777" w:rsidR="008A01FD" w:rsidRDefault="008A01FD" w:rsidP="001019DA">
      <w:pPr>
        <w:jc w:val="both"/>
        <w:rPr>
          <w:sz w:val="22"/>
        </w:rPr>
      </w:pPr>
      <w:r w:rsidRPr="00C52C6F">
        <w:rPr>
          <w:sz w:val="22"/>
        </w:rPr>
        <w:t>If a student cannot attend class, they must notify Student Services in advance.</w:t>
      </w:r>
    </w:p>
    <w:p w14:paraId="2FB23638" w14:textId="77777777" w:rsidR="007D001A" w:rsidRPr="00C52C6F" w:rsidRDefault="007D001A" w:rsidP="001019DA">
      <w:pPr>
        <w:jc w:val="both"/>
        <w:rPr>
          <w:sz w:val="22"/>
        </w:rPr>
      </w:pPr>
    </w:p>
    <w:p w14:paraId="12A52065" w14:textId="77777777" w:rsidR="008A01FD" w:rsidRPr="00C52C6F" w:rsidRDefault="008A01FD" w:rsidP="001019DA">
      <w:pPr>
        <w:ind w:firstLine="360"/>
        <w:jc w:val="both"/>
        <w:rPr>
          <w:sz w:val="22"/>
        </w:rPr>
      </w:pPr>
      <w:r w:rsidRPr="00C52C6F">
        <w:rPr>
          <w:b/>
          <w:bCs/>
          <w:sz w:val="22"/>
        </w:rPr>
        <w:t>Valid reasons for leave:</w:t>
      </w:r>
    </w:p>
    <w:p w14:paraId="63D878DD" w14:textId="77777777" w:rsidR="008A01FD" w:rsidRPr="00C52C6F" w:rsidRDefault="008A01FD" w:rsidP="001019DA">
      <w:pPr>
        <w:numPr>
          <w:ilvl w:val="0"/>
          <w:numId w:val="39"/>
        </w:numPr>
        <w:spacing w:after="160" w:line="259" w:lineRule="auto"/>
        <w:jc w:val="both"/>
        <w:rPr>
          <w:sz w:val="22"/>
        </w:rPr>
      </w:pPr>
      <w:r w:rsidRPr="00C52C6F">
        <w:rPr>
          <w:sz w:val="22"/>
        </w:rPr>
        <w:t>Medical illness or procedure (with a medical certificate stating the period of incapacity)</w:t>
      </w:r>
    </w:p>
    <w:p w14:paraId="02A19CA4" w14:textId="77777777" w:rsidR="008A01FD" w:rsidRPr="00C52C6F" w:rsidRDefault="008A01FD" w:rsidP="001019DA">
      <w:pPr>
        <w:numPr>
          <w:ilvl w:val="0"/>
          <w:numId w:val="39"/>
        </w:numPr>
        <w:spacing w:after="160" w:line="259" w:lineRule="auto"/>
        <w:jc w:val="both"/>
        <w:rPr>
          <w:sz w:val="22"/>
        </w:rPr>
      </w:pPr>
      <w:r w:rsidRPr="00C52C6F">
        <w:rPr>
          <w:sz w:val="22"/>
        </w:rPr>
        <w:t>Bereavement of a close family member (death certificate where possible)</w:t>
      </w:r>
    </w:p>
    <w:p w14:paraId="0D02F7B4" w14:textId="77777777" w:rsidR="008A01FD" w:rsidRPr="00C52C6F" w:rsidRDefault="008A01FD" w:rsidP="001019DA">
      <w:pPr>
        <w:numPr>
          <w:ilvl w:val="0"/>
          <w:numId w:val="39"/>
        </w:numPr>
        <w:spacing w:after="160" w:line="259" w:lineRule="auto"/>
        <w:jc w:val="both"/>
        <w:rPr>
          <w:sz w:val="22"/>
        </w:rPr>
      </w:pPr>
      <w:r w:rsidRPr="00C52C6F">
        <w:rPr>
          <w:sz w:val="22"/>
        </w:rPr>
        <w:t>Emergency travel due to a catastrophic event in the student’s home country</w:t>
      </w:r>
    </w:p>
    <w:p w14:paraId="45E569BE" w14:textId="77777777" w:rsidR="008A01FD" w:rsidRPr="00C52C6F" w:rsidRDefault="008A01FD" w:rsidP="001019DA">
      <w:pPr>
        <w:numPr>
          <w:ilvl w:val="0"/>
          <w:numId w:val="39"/>
        </w:numPr>
        <w:spacing w:after="160" w:line="259" w:lineRule="auto"/>
        <w:jc w:val="both"/>
        <w:rPr>
          <w:sz w:val="22"/>
        </w:rPr>
      </w:pPr>
      <w:r w:rsidRPr="00C52C6F">
        <w:rPr>
          <w:sz w:val="22"/>
        </w:rPr>
        <w:t>Significant trauma (e.g., involvement in a serious accident or crime, documented by police or a psychologist)</w:t>
      </w:r>
    </w:p>
    <w:p w14:paraId="0D167516" w14:textId="77777777" w:rsidR="008A01FD" w:rsidRPr="00C52C6F" w:rsidRDefault="008A01FD" w:rsidP="001019DA">
      <w:pPr>
        <w:ind w:firstLine="360"/>
        <w:jc w:val="both"/>
        <w:rPr>
          <w:sz w:val="24"/>
        </w:rPr>
      </w:pPr>
      <w:r w:rsidRPr="00C52C6F">
        <w:rPr>
          <w:b/>
          <w:bCs/>
          <w:sz w:val="24"/>
        </w:rPr>
        <w:t>Invalid reasons for leave:</w:t>
      </w:r>
    </w:p>
    <w:p w14:paraId="319673BB" w14:textId="77777777" w:rsidR="008A01FD" w:rsidRPr="00C52C6F" w:rsidRDefault="008A01FD" w:rsidP="001019DA">
      <w:pPr>
        <w:numPr>
          <w:ilvl w:val="0"/>
          <w:numId w:val="40"/>
        </w:numPr>
        <w:spacing w:after="160" w:line="259" w:lineRule="auto"/>
        <w:jc w:val="both"/>
        <w:rPr>
          <w:sz w:val="22"/>
        </w:rPr>
      </w:pPr>
      <w:r w:rsidRPr="00C52C6F">
        <w:rPr>
          <w:sz w:val="22"/>
        </w:rPr>
        <w:t>Personal holidays during the academic calendar</w:t>
      </w:r>
    </w:p>
    <w:p w14:paraId="73E2A340" w14:textId="77777777" w:rsidR="008A01FD" w:rsidRPr="00C52C6F" w:rsidRDefault="008A01FD" w:rsidP="001019DA">
      <w:pPr>
        <w:numPr>
          <w:ilvl w:val="0"/>
          <w:numId w:val="40"/>
        </w:numPr>
        <w:spacing w:after="160" w:line="259" w:lineRule="auto"/>
        <w:jc w:val="both"/>
        <w:rPr>
          <w:sz w:val="22"/>
        </w:rPr>
      </w:pPr>
      <w:r w:rsidRPr="00C52C6F">
        <w:rPr>
          <w:sz w:val="22"/>
        </w:rPr>
        <w:t>Other non-essential travel</w:t>
      </w:r>
    </w:p>
    <w:p w14:paraId="18560EE3" w14:textId="045223DE" w:rsidR="008A01FD" w:rsidRDefault="008A01FD" w:rsidP="001019DA">
      <w:pPr>
        <w:jc w:val="both"/>
        <w:rPr>
          <w:sz w:val="22"/>
        </w:rPr>
      </w:pPr>
      <w:r w:rsidRPr="00C52C6F">
        <w:rPr>
          <w:sz w:val="22"/>
        </w:rPr>
        <w:t>If a student misses more than </w:t>
      </w:r>
      <w:r w:rsidRPr="00C52C6F">
        <w:rPr>
          <w:b/>
          <w:bCs/>
          <w:sz w:val="22"/>
        </w:rPr>
        <w:t>50% of a module</w:t>
      </w:r>
      <w:r w:rsidRPr="00C52C6F">
        <w:rPr>
          <w:sz w:val="22"/>
        </w:rPr>
        <w:t>, they must </w:t>
      </w:r>
      <w:r w:rsidRPr="00C52C6F">
        <w:rPr>
          <w:b/>
          <w:bCs/>
          <w:sz w:val="22"/>
        </w:rPr>
        <w:t>retake the entire module</w:t>
      </w:r>
      <w:r w:rsidRPr="00C52C6F">
        <w:rPr>
          <w:sz w:val="22"/>
        </w:rPr>
        <w:t> to ensure consistency and completion of learning.</w:t>
      </w:r>
    </w:p>
    <w:p w14:paraId="668CF7F7" w14:textId="77777777" w:rsidR="007D001A" w:rsidRPr="005F7623" w:rsidRDefault="007D001A" w:rsidP="001019DA">
      <w:pPr>
        <w:jc w:val="both"/>
        <w:rPr>
          <w:sz w:val="22"/>
        </w:rPr>
      </w:pPr>
    </w:p>
    <w:p w14:paraId="34B63B8D" w14:textId="51A7402E" w:rsidR="008A01FD" w:rsidRPr="007D001A" w:rsidRDefault="008A01FD" w:rsidP="007D001A">
      <w:pPr>
        <w:pStyle w:val="Heading3"/>
        <w:rPr>
          <w:rFonts w:ascii="Century Gothic" w:hAnsi="Century Gothic"/>
          <w:b/>
          <w:bCs/>
        </w:rPr>
      </w:pPr>
      <w:bookmarkStart w:id="32" w:name="_Toc209429099"/>
      <w:r w:rsidRPr="007D001A">
        <w:rPr>
          <w:rFonts w:ascii="Century Gothic" w:hAnsi="Century Gothic"/>
          <w:b/>
          <w:bCs/>
        </w:rPr>
        <w:t>Requesting Leave</w:t>
      </w:r>
      <w:bookmarkEnd w:id="32"/>
    </w:p>
    <w:p w14:paraId="4E1753CF" w14:textId="198A1F90" w:rsidR="008A01FD" w:rsidRPr="00C52C6F" w:rsidRDefault="008A01FD" w:rsidP="001019DA">
      <w:pPr>
        <w:numPr>
          <w:ilvl w:val="0"/>
          <w:numId w:val="41"/>
        </w:numPr>
        <w:spacing w:after="160" w:line="259" w:lineRule="auto"/>
        <w:jc w:val="both"/>
        <w:rPr>
          <w:sz w:val="22"/>
        </w:rPr>
      </w:pPr>
      <w:r w:rsidRPr="00C52C6F">
        <w:rPr>
          <w:sz w:val="22"/>
        </w:rPr>
        <w:t xml:space="preserve">Leave of </w:t>
      </w:r>
      <w:r w:rsidRPr="00C52C6F">
        <w:rPr>
          <w:bCs/>
          <w:sz w:val="22"/>
        </w:rPr>
        <w:t>1–2 weeks</w:t>
      </w:r>
      <w:r w:rsidRPr="00C52C6F">
        <w:rPr>
          <w:sz w:val="22"/>
        </w:rPr>
        <w:t>: Requires approval from Albright Student Services.</w:t>
      </w:r>
    </w:p>
    <w:p w14:paraId="6FF6FFE4" w14:textId="405E7FF7" w:rsidR="008A01FD" w:rsidRPr="00C52C6F" w:rsidRDefault="008A01FD" w:rsidP="001019DA">
      <w:pPr>
        <w:numPr>
          <w:ilvl w:val="0"/>
          <w:numId w:val="41"/>
        </w:numPr>
        <w:spacing w:after="160" w:line="259" w:lineRule="auto"/>
        <w:jc w:val="both"/>
        <w:rPr>
          <w:sz w:val="22"/>
        </w:rPr>
      </w:pPr>
      <w:r w:rsidRPr="00C52C6F">
        <w:rPr>
          <w:sz w:val="22"/>
        </w:rPr>
        <w:t xml:space="preserve">Leave of </w:t>
      </w:r>
      <w:r w:rsidRPr="00C52C6F">
        <w:rPr>
          <w:bCs/>
          <w:sz w:val="22"/>
        </w:rPr>
        <w:t>3+ weeks</w:t>
      </w:r>
      <w:r w:rsidRPr="00C52C6F">
        <w:rPr>
          <w:sz w:val="22"/>
        </w:rPr>
        <w:t>: Requires notification to Albright Student Services and approval from the student’s Professional Association.</w:t>
      </w:r>
    </w:p>
    <w:p w14:paraId="71C3C9E8" w14:textId="665F2296" w:rsidR="008A01FD" w:rsidRPr="00C52C6F" w:rsidRDefault="008A01FD" w:rsidP="001019DA">
      <w:pPr>
        <w:jc w:val="both"/>
        <w:rPr>
          <w:sz w:val="22"/>
        </w:rPr>
      </w:pPr>
      <w:r w:rsidRPr="00C52C6F">
        <w:rPr>
          <w:sz w:val="22"/>
        </w:rPr>
        <w:t>Professional Bodies generally do not approve leave during the Professional Year without</w:t>
      </w:r>
      <w:r>
        <w:rPr>
          <w:sz w:val="22"/>
        </w:rPr>
        <w:t xml:space="preserve"> </w:t>
      </w:r>
      <w:r w:rsidRPr="00C52C6F">
        <w:rPr>
          <w:bCs/>
          <w:sz w:val="22"/>
        </w:rPr>
        <w:t>official medical or legal documentation</w:t>
      </w:r>
      <w:r w:rsidRPr="00C52C6F">
        <w:rPr>
          <w:sz w:val="22"/>
        </w:rPr>
        <w:t>, which must be translated into English if applicable.</w:t>
      </w:r>
    </w:p>
    <w:p w14:paraId="165DD240" w14:textId="77777777" w:rsidR="008A01FD" w:rsidRDefault="008A01FD" w:rsidP="001019DA">
      <w:pPr>
        <w:jc w:val="both"/>
        <w:rPr>
          <w:b/>
          <w:bCs/>
          <w:sz w:val="24"/>
        </w:rPr>
      </w:pPr>
    </w:p>
    <w:p w14:paraId="7F25C1B0" w14:textId="52E78172" w:rsidR="008A01FD" w:rsidRPr="007D001A" w:rsidRDefault="008A01FD" w:rsidP="007D001A">
      <w:pPr>
        <w:pStyle w:val="Heading3"/>
        <w:rPr>
          <w:rFonts w:ascii="Century Gothic" w:hAnsi="Century Gothic"/>
          <w:b/>
          <w:bCs/>
        </w:rPr>
      </w:pPr>
      <w:bookmarkStart w:id="33" w:name="_Toc209429100"/>
      <w:r w:rsidRPr="007D001A">
        <w:rPr>
          <w:rFonts w:ascii="Century Gothic" w:hAnsi="Century Gothic"/>
          <w:b/>
          <w:bCs/>
        </w:rPr>
        <w:t>Unexpected Absence</w:t>
      </w:r>
      <w:bookmarkEnd w:id="33"/>
    </w:p>
    <w:p w14:paraId="3CCDD95E" w14:textId="623FD1DE" w:rsidR="008A01FD" w:rsidRDefault="008A01FD" w:rsidP="001019DA">
      <w:pPr>
        <w:jc w:val="both"/>
        <w:rPr>
          <w:sz w:val="22"/>
        </w:rPr>
      </w:pPr>
      <w:r w:rsidRPr="00C52C6F">
        <w:rPr>
          <w:sz w:val="22"/>
        </w:rPr>
        <w:t>Students who unexpectedly miss class must email Student Services and their trainer before the class begins. After the absence, they must formally apply for leave with supporting documentation. Each case will be reviewed individually.</w:t>
      </w:r>
    </w:p>
    <w:p w14:paraId="1C75C330" w14:textId="77777777" w:rsidR="007D001A" w:rsidRPr="005F7623" w:rsidRDefault="007D001A" w:rsidP="001019DA">
      <w:pPr>
        <w:jc w:val="both"/>
        <w:rPr>
          <w:sz w:val="22"/>
        </w:rPr>
      </w:pPr>
    </w:p>
    <w:p w14:paraId="032C268E" w14:textId="4932CC21" w:rsidR="008A01FD" w:rsidRPr="007D001A" w:rsidRDefault="008A01FD" w:rsidP="007D001A">
      <w:pPr>
        <w:pStyle w:val="Heading3"/>
        <w:rPr>
          <w:rFonts w:ascii="Century Gothic" w:hAnsi="Century Gothic"/>
          <w:b/>
          <w:bCs/>
        </w:rPr>
      </w:pPr>
      <w:bookmarkStart w:id="34" w:name="_Toc209429101"/>
      <w:r w:rsidRPr="007D001A">
        <w:rPr>
          <w:rFonts w:ascii="Century Gothic" w:hAnsi="Century Gothic"/>
          <w:b/>
          <w:bCs/>
        </w:rPr>
        <w:t>Make-Up Classes</w:t>
      </w:r>
      <w:bookmarkEnd w:id="34"/>
    </w:p>
    <w:p w14:paraId="4FCFBFB2" w14:textId="77777777" w:rsidR="008A01FD" w:rsidRPr="00C52C6F" w:rsidRDefault="008A01FD" w:rsidP="001019DA">
      <w:pPr>
        <w:jc w:val="both"/>
        <w:rPr>
          <w:sz w:val="22"/>
        </w:rPr>
      </w:pPr>
      <w:r w:rsidRPr="00C52C6F">
        <w:rPr>
          <w:sz w:val="22"/>
        </w:rPr>
        <w:t>Students must complete all 32 weeks of the program. If a class is missed, they must attend a make-up class.</w:t>
      </w:r>
    </w:p>
    <w:p w14:paraId="6FF9ECA6" w14:textId="77777777" w:rsidR="008A01FD" w:rsidRPr="00C52C6F" w:rsidRDefault="008A01FD" w:rsidP="001019DA">
      <w:pPr>
        <w:numPr>
          <w:ilvl w:val="0"/>
          <w:numId w:val="42"/>
        </w:numPr>
        <w:spacing w:after="160" w:line="259" w:lineRule="auto"/>
        <w:jc w:val="both"/>
        <w:rPr>
          <w:sz w:val="22"/>
        </w:rPr>
      </w:pPr>
      <w:r w:rsidRPr="00C52C6F">
        <w:rPr>
          <w:sz w:val="22"/>
        </w:rPr>
        <w:t xml:space="preserve">A </w:t>
      </w:r>
      <w:r w:rsidRPr="00C52C6F">
        <w:rPr>
          <w:bCs/>
          <w:sz w:val="22"/>
        </w:rPr>
        <w:t>$150 administration fee</w:t>
      </w:r>
      <w:r w:rsidRPr="00C52C6F">
        <w:rPr>
          <w:sz w:val="22"/>
        </w:rPr>
        <w:t xml:space="preserve"> applies to all make-up classes.</w:t>
      </w:r>
    </w:p>
    <w:p w14:paraId="61F89D1B" w14:textId="77777777" w:rsidR="008A01FD" w:rsidRPr="00C52C6F" w:rsidRDefault="008A01FD" w:rsidP="001019DA">
      <w:pPr>
        <w:numPr>
          <w:ilvl w:val="0"/>
          <w:numId w:val="42"/>
        </w:numPr>
        <w:spacing w:after="160" w:line="259" w:lineRule="auto"/>
        <w:jc w:val="both"/>
        <w:rPr>
          <w:sz w:val="22"/>
        </w:rPr>
      </w:pPr>
      <w:r w:rsidRPr="00C52C6F">
        <w:rPr>
          <w:sz w:val="22"/>
        </w:rPr>
        <w:t>All fees must be paid before internship commencement.</w:t>
      </w:r>
    </w:p>
    <w:p w14:paraId="19AFF7F1" w14:textId="77777777" w:rsidR="008A01FD" w:rsidRPr="00C52C6F" w:rsidRDefault="008A01FD" w:rsidP="001019DA">
      <w:pPr>
        <w:numPr>
          <w:ilvl w:val="0"/>
          <w:numId w:val="42"/>
        </w:numPr>
        <w:spacing w:after="160" w:line="259" w:lineRule="auto"/>
        <w:jc w:val="both"/>
        <w:rPr>
          <w:sz w:val="22"/>
        </w:rPr>
      </w:pPr>
      <w:r w:rsidRPr="00C52C6F">
        <w:rPr>
          <w:sz w:val="22"/>
        </w:rPr>
        <w:t>The fee may be waived in extreme circumstances at the discretion of Albright Institute management.</w:t>
      </w:r>
    </w:p>
    <w:p w14:paraId="0EC797F2" w14:textId="77777777" w:rsidR="008A01FD" w:rsidRPr="00C52C6F" w:rsidRDefault="008A01FD" w:rsidP="001019DA">
      <w:pPr>
        <w:numPr>
          <w:ilvl w:val="0"/>
          <w:numId w:val="42"/>
        </w:numPr>
        <w:spacing w:after="160" w:line="259" w:lineRule="auto"/>
        <w:jc w:val="both"/>
        <w:rPr>
          <w:sz w:val="22"/>
        </w:rPr>
      </w:pPr>
      <w:r w:rsidRPr="00C52C6F">
        <w:rPr>
          <w:sz w:val="22"/>
        </w:rPr>
        <w:t xml:space="preserve">If a student misses one class, they may attend a </w:t>
      </w:r>
      <w:r w:rsidRPr="00C52C6F">
        <w:rPr>
          <w:bCs/>
          <w:sz w:val="22"/>
        </w:rPr>
        <w:t>week-32+1</w:t>
      </w:r>
      <w:r w:rsidRPr="00C52C6F">
        <w:rPr>
          <w:sz w:val="22"/>
        </w:rPr>
        <w:t xml:space="preserve"> class at no charge, delaying their internship by one week.</w:t>
      </w:r>
    </w:p>
    <w:p w14:paraId="706F2D95" w14:textId="22D00A69" w:rsidR="008A01FD" w:rsidRPr="003D370F" w:rsidRDefault="008A01FD" w:rsidP="001019DA">
      <w:pPr>
        <w:numPr>
          <w:ilvl w:val="0"/>
          <w:numId w:val="42"/>
        </w:numPr>
        <w:spacing w:after="160" w:line="259" w:lineRule="auto"/>
        <w:jc w:val="both"/>
        <w:rPr>
          <w:sz w:val="22"/>
        </w:rPr>
      </w:pPr>
      <w:r w:rsidRPr="00C52C6F">
        <w:rPr>
          <w:sz w:val="22"/>
        </w:rPr>
        <w:lastRenderedPageBreak/>
        <w:t xml:space="preserve">If a student misses </w:t>
      </w:r>
      <w:r w:rsidRPr="00C52C6F">
        <w:rPr>
          <w:bCs/>
          <w:sz w:val="22"/>
        </w:rPr>
        <w:t>two or more</w:t>
      </w:r>
      <w:r w:rsidRPr="00C52C6F">
        <w:rPr>
          <w:sz w:val="22"/>
        </w:rPr>
        <w:t xml:space="preserve"> classes, they must pay for multiple make-up classes.</w:t>
      </w:r>
    </w:p>
    <w:p w14:paraId="5CD76DFC" w14:textId="5F30DBDA" w:rsidR="008A01FD" w:rsidRPr="00C52C6F" w:rsidRDefault="008A01FD" w:rsidP="001019DA">
      <w:pPr>
        <w:jc w:val="both"/>
        <w:rPr>
          <w:b/>
          <w:bCs/>
          <w:sz w:val="24"/>
        </w:rPr>
      </w:pPr>
      <w:r w:rsidRPr="00C52C6F">
        <w:rPr>
          <w:b/>
          <w:bCs/>
          <w:sz w:val="24"/>
        </w:rPr>
        <w:t>Additional Policies</w:t>
      </w:r>
    </w:p>
    <w:p w14:paraId="4FA33FFA" w14:textId="77777777" w:rsidR="008A01FD" w:rsidRPr="00C52C6F" w:rsidRDefault="008A01FD" w:rsidP="001019DA">
      <w:pPr>
        <w:jc w:val="both"/>
        <w:rPr>
          <w:sz w:val="22"/>
        </w:rPr>
      </w:pPr>
      <w:r w:rsidRPr="00C52C6F">
        <w:rPr>
          <w:sz w:val="22"/>
        </w:rPr>
        <w:t>Students should refer to other relevant Albright Institute policies related to the Professional Year, including:</w:t>
      </w:r>
    </w:p>
    <w:p w14:paraId="0245EAE7" w14:textId="6E5D473E" w:rsidR="00AD17FD" w:rsidRDefault="00041AF2" w:rsidP="001019DA">
      <w:pPr>
        <w:numPr>
          <w:ilvl w:val="0"/>
          <w:numId w:val="43"/>
        </w:numPr>
        <w:spacing w:after="160" w:line="259" w:lineRule="auto"/>
        <w:jc w:val="both"/>
        <w:rPr>
          <w:sz w:val="22"/>
        </w:rPr>
      </w:pPr>
      <w:hyperlink r:id="rId12" w:history="1">
        <w:r w:rsidRPr="00530E06">
          <w:rPr>
            <w:rStyle w:val="Hyperlink"/>
            <w:sz w:val="22"/>
          </w:rPr>
          <w:t>https://albrightinstitute.edu.au/forms-and-policies/</w:t>
        </w:r>
      </w:hyperlink>
      <w:r>
        <w:rPr>
          <w:sz w:val="22"/>
        </w:rPr>
        <w:t xml:space="preserve"> </w:t>
      </w:r>
    </w:p>
    <w:p w14:paraId="2EBD8952" w14:textId="6FBA7EE3" w:rsidR="00AD17FD" w:rsidRPr="007D001A" w:rsidRDefault="00AD17FD" w:rsidP="007D001A">
      <w:pPr>
        <w:pStyle w:val="Heading3"/>
        <w:rPr>
          <w:rFonts w:ascii="Century Gothic" w:hAnsi="Century Gothic"/>
          <w:b/>
          <w:bCs/>
        </w:rPr>
      </w:pPr>
      <w:bookmarkStart w:id="35" w:name="_Toc209429102"/>
      <w:r w:rsidRPr="007D001A">
        <w:rPr>
          <w:rFonts w:ascii="Century Gothic" w:hAnsi="Century Gothic"/>
          <w:b/>
          <w:bCs/>
        </w:rPr>
        <w:t>Warning System Policy for PY Program Exclusion</w:t>
      </w:r>
      <w:bookmarkEnd w:id="35"/>
    </w:p>
    <w:p w14:paraId="3849D021" w14:textId="77777777" w:rsidR="00AD17FD" w:rsidRPr="00AD17FD" w:rsidRDefault="00AD17FD" w:rsidP="001019DA">
      <w:pPr>
        <w:jc w:val="both"/>
        <w:rPr>
          <w:sz w:val="22"/>
          <w:szCs w:val="22"/>
        </w:rPr>
      </w:pPr>
      <w:r w:rsidRPr="00AD17FD">
        <w:rPr>
          <w:sz w:val="22"/>
          <w:szCs w:val="22"/>
        </w:rPr>
        <w:t xml:space="preserve">This process manages academic or </w:t>
      </w:r>
      <w:proofErr w:type="spellStart"/>
      <w:r w:rsidRPr="00AD17FD">
        <w:rPr>
          <w:sz w:val="22"/>
          <w:szCs w:val="22"/>
        </w:rPr>
        <w:t>behavioural</w:t>
      </w:r>
      <w:proofErr w:type="spellEnd"/>
      <w:r w:rsidRPr="00AD17FD">
        <w:rPr>
          <w:sz w:val="22"/>
          <w:szCs w:val="22"/>
        </w:rPr>
        <w:t xml:space="preserve"> misconduct during the Professional Year (PY) program over the entire 44 weeks of the program. It establishes a three-warning system to provide students with fair and consistent opportunities to correct their actions before being excluded from the program.</w:t>
      </w:r>
    </w:p>
    <w:p w14:paraId="02C24474" w14:textId="77777777" w:rsidR="00AD17FD" w:rsidRPr="00AD17FD" w:rsidRDefault="00AD17FD" w:rsidP="001019DA">
      <w:pPr>
        <w:jc w:val="both"/>
        <w:rPr>
          <w:sz w:val="22"/>
          <w:szCs w:val="22"/>
        </w:rPr>
      </w:pPr>
    </w:p>
    <w:p w14:paraId="71C8CE09" w14:textId="0FDCA31B" w:rsidR="00AD17FD" w:rsidRPr="00AD17FD" w:rsidRDefault="00AD17FD" w:rsidP="001019DA">
      <w:pPr>
        <w:jc w:val="both"/>
        <w:rPr>
          <w:sz w:val="22"/>
          <w:szCs w:val="22"/>
        </w:rPr>
      </w:pPr>
      <w:r w:rsidRPr="00AD17FD">
        <w:rPr>
          <w:sz w:val="22"/>
          <w:szCs w:val="22"/>
        </w:rPr>
        <w:t xml:space="preserve">Examples of poor </w:t>
      </w:r>
      <w:r w:rsidR="005F7623" w:rsidRPr="00AD17FD">
        <w:rPr>
          <w:sz w:val="22"/>
          <w:szCs w:val="22"/>
        </w:rPr>
        <w:t>behaviors</w:t>
      </w:r>
      <w:r w:rsidRPr="00AD17FD">
        <w:rPr>
          <w:sz w:val="22"/>
          <w:szCs w:val="22"/>
        </w:rPr>
        <w:t xml:space="preserve"> that can result in issuing of warnings include the following examples:</w:t>
      </w:r>
    </w:p>
    <w:p w14:paraId="3F951C71" w14:textId="77777777" w:rsidR="00AD17FD" w:rsidRPr="00AD17FD" w:rsidRDefault="00AD17FD" w:rsidP="001019DA">
      <w:pPr>
        <w:pStyle w:val="ListParagraph"/>
        <w:numPr>
          <w:ilvl w:val="0"/>
          <w:numId w:val="44"/>
        </w:numPr>
        <w:spacing w:after="0" w:line="240" w:lineRule="auto"/>
        <w:contextualSpacing/>
        <w:jc w:val="both"/>
        <w:rPr>
          <w:rFonts w:ascii="Century Gothic" w:hAnsi="Century Gothic"/>
        </w:rPr>
      </w:pPr>
      <w:r w:rsidRPr="00AD17FD">
        <w:rPr>
          <w:rFonts w:ascii="Century Gothic" w:hAnsi="Century Gothic"/>
        </w:rPr>
        <w:t>Repeated lateness in attendance or submitting work.</w:t>
      </w:r>
    </w:p>
    <w:p w14:paraId="5670FE7B" w14:textId="77777777" w:rsidR="00AD17FD" w:rsidRPr="00AD17FD" w:rsidRDefault="00AD17FD" w:rsidP="001019DA">
      <w:pPr>
        <w:pStyle w:val="ListParagraph"/>
        <w:numPr>
          <w:ilvl w:val="0"/>
          <w:numId w:val="44"/>
        </w:numPr>
        <w:spacing w:after="0" w:line="240" w:lineRule="auto"/>
        <w:contextualSpacing/>
        <w:jc w:val="both"/>
        <w:rPr>
          <w:rFonts w:ascii="Century Gothic" w:hAnsi="Century Gothic"/>
        </w:rPr>
      </w:pPr>
      <w:r w:rsidRPr="00AD17FD">
        <w:rPr>
          <w:rFonts w:ascii="Century Gothic" w:hAnsi="Century Gothic"/>
        </w:rPr>
        <w:t>Refusing to participate or complete tasks as an individual or group task.</w:t>
      </w:r>
    </w:p>
    <w:p w14:paraId="47DF8FF2" w14:textId="77777777" w:rsidR="00AD17FD" w:rsidRPr="00AD17FD" w:rsidRDefault="00AD17FD" w:rsidP="001019DA">
      <w:pPr>
        <w:pStyle w:val="ListParagraph"/>
        <w:numPr>
          <w:ilvl w:val="0"/>
          <w:numId w:val="44"/>
        </w:numPr>
        <w:spacing w:after="0" w:line="240" w:lineRule="auto"/>
        <w:contextualSpacing/>
        <w:jc w:val="both"/>
        <w:rPr>
          <w:rFonts w:ascii="Century Gothic" w:hAnsi="Century Gothic"/>
        </w:rPr>
      </w:pPr>
      <w:r w:rsidRPr="00AD17FD">
        <w:rPr>
          <w:rFonts w:ascii="Century Gothic" w:hAnsi="Century Gothic"/>
        </w:rPr>
        <w:t>Disruptive behaviour: talking during presentations or ignoring instructions.</w:t>
      </w:r>
    </w:p>
    <w:p w14:paraId="66A219E4" w14:textId="77777777" w:rsidR="00AD17FD" w:rsidRPr="00AD17FD" w:rsidRDefault="00AD17FD" w:rsidP="001019DA">
      <w:pPr>
        <w:pStyle w:val="ListParagraph"/>
        <w:numPr>
          <w:ilvl w:val="0"/>
          <w:numId w:val="44"/>
        </w:numPr>
        <w:spacing w:after="0" w:line="240" w:lineRule="auto"/>
        <w:contextualSpacing/>
        <w:jc w:val="both"/>
        <w:rPr>
          <w:rFonts w:ascii="Century Gothic" w:hAnsi="Century Gothic"/>
        </w:rPr>
      </w:pPr>
      <w:r w:rsidRPr="00AD17FD">
        <w:rPr>
          <w:rFonts w:ascii="Century Gothic" w:hAnsi="Century Gothic"/>
        </w:rPr>
        <w:t>Plagiarism or collusion in a written LMS assessment.</w:t>
      </w:r>
    </w:p>
    <w:p w14:paraId="73C83E01" w14:textId="77777777" w:rsidR="00AD17FD" w:rsidRPr="00AD17FD" w:rsidRDefault="00AD17FD" w:rsidP="001019DA">
      <w:pPr>
        <w:pStyle w:val="ListParagraph"/>
        <w:numPr>
          <w:ilvl w:val="0"/>
          <w:numId w:val="44"/>
        </w:numPr>
        <w:spacing w:after="0" w:line="240" w:lineRule="auto"/>
        <w:contextualSpacing/>
        <w:jc w:val="both"/>
        <w:rPr>
          <w:rFonts w:ascii="Century Gothic" w:hAnsi="Century Gothic"/>
        </w:rPr>
      </w:pPr>
      <w:r w:rsidRPr="00AD17FD">
        <w:rPr>
          <w:rFonts w:ascii="Century Gothic" w:hAnsi="Century Gothic"/>
        </w:rPr>
        <w:t>Unprofessional behaviour at a WIL placement: refusing to complete work tasks.</w:t>
      </w:r>
    </w:p>
    <w:p w14:paraId="63FFA811" w14:textId="77777777" w:rsidR="00AD17FD" w:rsidRPr="00AD17FD" w:rsidRDefault="00AD17FD" w:rsidP="001019DA">
      <w:pPr>
        <w:pStyle w:val="ListParagraph"/>
        <w:numPr>
          <w:ilvl w:val="0"/>
          <w:numId w:val="44"/>
        </w:numPr>
        <w:spacing w:after="0" w:line="240" w:lineRule="auto"/>
        <w:contextualSpacing/>
        <w:jc w:val="both"/>
        <w:rPr>
          <w:rFonts w:ascii="Century Gothic" w:hAnsi="Century Gothic"/>
        </w:rPr>
      </w:pPr>
      <w:r w:rsidRPr="00AD17FD">
        <w:rPr>
          <w:rFonts w:ascii="Century Gothic" w:hAnsi="Century Gothic"/>
        </w:rPr>
        <w:t>Arriving late or failing to attend internship without notice.</w:t>
      </w:r>
    </w:p>
    <w:p w14:paraId="61DF902E" w14:textId="77777777" w:rsidR="00AD17FD" w:rsidRPr="00AD17FD" w:rsidRDefault="00AD17FD" w:rsidP="001019DA">
      <w:pPr>
        <w:pStyle w:val="ListParagraph"/>
        <w:numPr>
          <w:ilvl w:val="0"/>
          <w:numId w:val="44"/>
        </w:numPr>
        <w:spacing w:after="0" w:line="240" w:lineRule="auto"/>
        <w:contextualSpacing/>
        <w:jc w:val="both"/>
        <w:rPr>
          <w:rFonts w:ascii="Century Gothic" w:hAnsi="Century Gothic"/>
        </w:rPr>
      </w:pPr>
      <w:r w:rsidRPr="00AD17FD">
        <w:rPr>
          <w:rFonts w:ascii="Century Gothic" w:hAnsi="Century Gothic"/>
        </w:rPr>
        <w:t>Harassment, discrimination, or gross misconduct in class or during WIL.</w:t>
      </w:r>
    </w:p>
    <w:p w14:paraId="58AB2627" w14:textId="77777777" w:rsidR="00AD17FD" w:rsidRPr="00AD17FD" w:rsidRDefault="00AD17FD" w:rsidP="001019DA">
      <w:pPr>
        <w:pStyle w:val="ListParagraph"/>
        <w:numPr>
          <w:ilvl w:val="0"/>
          <w:numId w:val="44"/>
        </w:numPr>
        <w:spacing w:after="0" w:line="240" w:lineRule="auto"/>
        <w:contextualSpacing/>
        <w:jc w:val="both"/>
        <w:rPr>
          <w:rFonts w:ascii="Century Gothic" w:hAnsi="Century Gothic"/>
        </w:rPr>
      </w:pPr>
      <w:r w:rsidRPr="00AD17FD">
        <w:rPr>
          <w:rFonts w:ascii="Century Gothic" w:hAnsi="Century Gothic"/>
        </w:rPr>
        <w:t>Verbal Abuse, Aggression or disrespecting staff or students.</w:t>
      </w:r>
    </w:p>
    <w:p w14:paraId="38E38028" w14:textId="77777777" w:rsidR="00AD17FD" w:rsidRPr="00AD17FD" w:rsidRDefault="00AD17FD" w:rsidP="001019DA">
      <w:pPr>
        <w:pStyle w:val="ListParagraph"/>
        <w:numPr>
          <w:ilvl w:val="0"/>
          <w:numId w:val="44"/>
        </w:numPr>
        <w:spacing w:after="0" w:line="240" w:lineRule="auto"/>
        <w:contextualSpacing/>
        <w:jc w:val="both"/>
        <w:rPr>
          <w:rFonts w:ascii="Century Gothic" w:hAnsi="Century Gothic"/>
        </w:rPr>
      </w:pPr>
      <w:r w:rsidRPr="00AD17FD">
        <w:rPr>
          <w:rFonts w:ascii="Century Gothic" w:hAnsi="Century Gothic"/>
        </w:rPr>
        <w:t>Targeting other students or staff through inappropriate jokes, slurs, or threats.</w:t>
      </w:r>
    </w:p>
    <w:p w14:paraId="0AB85E25" w14:textId="77777777" w:rsidR="00AD17FD" w:rsidRPr="00AD17FD" w:rsidRDefault="00AD17FD" w:rsidP="001019DA">
      <w:pPr>
        <w:pStyle w:val="ListParagraph"/>
        <w:numPr>
          <w:ilvl w:val="0"/>
          <w:numId w:val="44"/>
        </w:numPr>
        <w:spacing w:after="0" w:line="240" w:lineRule="auto"/>
        <w:contextualSpacing/>
        <w:jc w:val="both"/>
        <w:rPr>
          <w:rFonts w:ascii="Century Gothic" w:hAnsi="Century Gothic"/>
        </w:rPr>
      </w:pPr>
      <w:r w:rsidRPr="00AD17FD">
        <w:rPr>
          <w:rFonts w:ascii="Century Gothic" w:hAnsi="Century Gothic"/>
        </w:rPr>
        <w:t>Racist, sexist, homophobic, or otherwise discriminatory comments or actions.</w:t>
      </w:r>
    </w:p>
    <w:p w14:paraId="5E005C39" w14:textId="77777777" w:rsidR="00AD17FD" w:rsidRPr="00AD17FD" w:rsidRDefault="00AD17FD" w:rsidP="001019DA">
      <w:pPr>
        <w:pStyle w:val="ListParagraph"/>
        <w:numPr>
          <w:ilvl w:val="0"/>
          <w:numId w:val="44"/>
        </w:numPr>
        <w:spacing w:after="0" w:line="240" w:lineRule="auto"/>
        <w:contextualSpacing/>
        <w:jc w:val="both"/>
        <w:rPr>
          <w:rFonts w:ascii="Century Gothic" w:hAnsi="Century Gothic"/>
        </w:rPr>
      </w:pPr>
      <w:r w:rsidRPr="00AD17FD">
        <w:rPr>
          <w:rFonts w:ascii="Century Gothic" w:hAnsi="Century Gothic"/>
        </w:rPr>
        <w:t>Misuse of technology during tasks including breach of IT access.</w:t>
      </w:r>
    </w:p>
    <w:p w14:paraId="4EDEEC0B" w14:textId="77777777" w:rsidR="00AD17FD" w:rsidRPr="00AD17FD" w:rsidRDefault="00AD17FD" w:rsidP="001019DA">
      <w:pPr>
        <w:pStyle w:val="ListParagraph"/>
        <w:numPr>
          <w:ilvl w:val="0"/>
          <w:numId w:val="44"/>
        </w:numPr>
        <w:spacing w:after="0" w:line="240" w:lineRule="auto"/>
        <w:contextualSpacing/>
        <w:jc w:val="both"/>
        <w:rPr>
          <w:rFonts w:ascii="Century Gothic" w:hAnsi="Century Gothic"/>
        </w:rPr>
      </w:pPr>
      <w:r w:rsidRPr="00AD17FD">
        <w:rPr>
          <w:rFonts w:ascii="Century Gothic" w:hAnsi="Century Gothic"/>
        </w:rPr>
        <w:t>Internship misconduct including inappropriate dress or hygiene, poor communication, breaches of confidentiality or safety protocols.</w:t>
      </w:r>
    </w:p>
    <w:p w14:paraId="59124D11" w14:textId="77777777" w:rsidR="00AD17FD" w:rsidRPr="00AD17FD" w:rsidRDefault="00AD17FD" w:rsidP="001019DA">
      <w:pPr>
        <w:pStyle w:val="ListParagraph"/>
        <w:numPr>
          <w:ilvl w:val="0"/>
          <w:numId w:val="44"/>
        </w:numPr>
        <w:spacing w:after="0" w:line="240" w:lineRule="auto"/>
        <w:contextualSpacing/>
        <w:jc w:val="both"/>
        <w:rPr>
          <w:rFonts w:ascii="Century Gothic" w:hAnsi="Century Gothic"/>
        </w:rPr>
      </w:pPr>
      <w:r w:rsidRPr="00AD17FD">
        <w:rPr>
          <w:rFonts w:ascii="Century Gothic" w:hAnsi="Century Gothic"/>
        </w:rPr>
        <w:t>Not meeting performance expectations without valid reason.</w:t>
      </w:r>
    </w:p>
    <w:p w14:paraId="2E2374AC" w14:textId="77777777" w:rsidR="00AD17FD" w:rsidRPr="00AD17FD" w:rsidRDefault="00AD17FD" w:rsidP="001019DA">
      <w:pPr>
        <w:pStyle w:val="ListParagraph"/>
        <w:numPr>
          <w:ilvl w:val="0"/>
          <w:numId w:val="44"/>
        </w:numPr>
        <w:spacing w:after="0" w:line="240" w:lineRule="auto"/>
        <w:contextualSpacing/>
        <w:jc w:val="both"/>
        <w:rPr>
          <w:rFonts w:ascii="Century Gothic" w:hAnsi="Century Gothic"/>
        </w:rPr>
      </w:pPr>
      <w:r w:rsidRPr="00AD17FD">
        <w:rPr>
          <w:rFonts w:ascii="Century Gothic" w:hAnsi="Century Gothic"/>
        </w:rPr>
        <w:t>Falsifying documents such as medical certificates, timesheets or placement reports.</w:t>
      </w:r>
    </w:p>
    <w:p w14:paraId="213FA8C1" w14:textId="77777777" w:rsidR="00AD17FD" w:rsidRPr="00AD17FD" w:rsidRDefault="00AD17FD" w:rsidP="001019DA">
      <w:pPr>
        <w:pStyle w:val="ListParagraph"/>
        <w:numPr>
          <w:ilvl w:val="0"/>
          <w:numId w:val="44"/>
        </w:numPr>
        <w:spacing w:after="0" w:line="240" w:lineRule="auto"/>
        <w:contextualSpacing/>
        <w:jc w:val="both"/>
        <w:rPr>
          <w:rFonts w:ascii="Century Gothic" w:hAnsi="Century Gothic"/>
        </w:rPr>
      </w:pPr>
      <w:r w:rsidRPr="00AD17FD">
        <w:rPr>
          <w:rFonts w:ascii="Century Gothic" w:hAnsi="Century Gothic"/>
        </w:rPr>
        <w:t>Any action during WIL that damages the reputation of the education or service provider.</w:t>
      </w:r>
    </w:p>
    <w:p w14:paraId="188BC148" w14:textId="68435E31" w:rsidR="00AD17FD" w:rsidRDefault="00AD17FD" w:rsidP="001019DA">
      <w:pPr>
        <w:pStyle w:val="ListParagraph"/>
        <w:numPr>
          <w:ilvl w:val="0"/>
          <w:numId w:val="44"/>
        </w:numPr>
        <w:spacing w:after="0" w:line="240" w:lineRule="auto"/>
        <w:contextualSpacing/>
        <w:jc w:val="both"/>
        <w:rPr>
          <w:rFonts w:ascii="Century Gothic" w:hAnsi="Century Gothic" w:cstheme="minorHAnsi"/>
        </w:rPr>
      </w:pPr>
      <w:r w:rsidRPr="00AD17FD">
        <w:rPr>
          <w:rFonts w:ascii="Century Gothic" w:hAnsi="Century Gothic" w:cstheme="minorHAnsi"/>
        </w:rPr>
        <w:t>Additionally, students are required to maintain required attendance rates. Failure to attend more than 80% of all classes can result in the student failing the program.</w:t>
      </w:r>
    </w:p>
    <w:p w14:paraId="0BD3EEE2" w14:textId="77777777" w:rsidR="007D001A" w:rsidRPr="007D001A" w:rsidRDefault="007D001A" w:rsidP="007D001A">
      <w:pPr>
        <w:ind w:left="360"/>
        <w:contextualSpacing/>
        <w:jc w:val="both"/>
        <w:rPr>
          <w:rFonts w:cstheme="minorHAnsi"/>
        </w:rPr>
      </w:pPr>
    </w:p>
    <w:p w14:paraId="620B63AB" w14:textId="103265B4" w:rsidR="00AD17FD" w:rsidRDefault="00AD17FD" w:rsidP="007D001A">
      <w:pPr>
        <w:pStyle w:val="Heading3"/>
        <w:rPr>
          <w:rFonts w:ascii="Century Gothic" w:hAnsi="Century Gothic"/>
          <w:b/>
          <w:bCs/>
        </w:rPr>
      </w:pPr>
      <w:bookmarkStart w:id="36" w:name="_Toc209429103"/>
      <w:r w:rsidRPr="007D001A">
        <w:rPr>
          <w:rFonts w:ascii="Century Gothic" w:hAnsi="Century Gothic"/>
          <w:b/>
          <w:bCs/>
        </w:rPr>
        <w:t>Warning Levels</w:t>
      </w:r>
      <w:bookmarkEnd w:id="36"/>
    </w:p>
    <w:p w14:paraId="08E761F1" w14:textId="77777777" w:rsidR="00CC4EB7" w:rsidRPr="00CC4EB7" w:rsidRDefault="00CC4EB7" w:rsidP="00CC4EB7"/>
    <w:p w14:paraId="69FB7C46" w14:textId="77777777" w:rsidR="00AD17FD" w:rsidRPr="005F7623" w:rsidRDefault="00AD17FD" w:rsidP="001019DA">
      <w:pPr>
        <w:jc w:val="both"/>
        <w:rPr>
          <w:b/>
          <w:bCs/>
          <w:sz w:val="22"/>
          <w:szCs w:val="22"/>
        </w:rPr>
      </w:pPr>
      <w:r w:rsidRPr="005F7623">
        <w:rPr>
          <w:b/>
          <w:bCs/>
          <w:sz w:val="22"/>
          <w:szCs w:val="22"/>
        </w:rPr>
        <w:t>1. Verbal Warning</w:t>
      </w:r>
    </w:p>
    <w:p w14:paraId="6FDB6B82" w14:textId="77777777" w:rsidR="00AD17FD" w:rsidRPr="00AD17FD" w:rsidRDefault="00AD17FD" w:rsidP="001019DA">
      <w:pPr>
        <w:jc w:val="both"/>
        <w:rPr>
          <w:sz w:val="22"/>
          <w:szCs w:val="22"/>
        </w:rPr>
      </w:pPr>
      <w:r w:rsidRPr="00AD17FD">
        <w:rPr>
          <w:sz w:val="22"/>
          <w:szCs w:val="22"/>
        </w:rPr>
        <w:t xml:space="preserve">Primary or minor breaches of academic or </w:t>
      </w:r>
      <w:proofErr w:type="spellStart"/>
      <w:r w:rsidRPr="00AD17FD">
        <w:rPr>
          <w:sz w:val="22"/>
          <w:szCs w:val="22"/>
        </w:rPr>
        <w:t>behavioural</w:t>
      </w:r>
      <w:proofErr w:type="spellEnd"/>
      <w:r w:rsidRPr="00AD17FD">
        <w:rPr>
          <w:sz w:val="22"/>
          <w:szCs w:val="22"/>
        </w:rPr>
        <w:t xml:space="preserve"> expectations can be raised by the trainer to course management to discuss and deliver a verbal warning.</w:t>
      </w:r>
    </w:p>
    <w:p w14:paraId="4FB85183" w14:textId="77777777" w:rsidR="00AD17FD" w:rsidRPr="00AD17FD" w:rsidRDefault="00AD17FD" w:rsidP="001019DA">
      <w:pPr>
        <w:jc w:val="both"/>
        <w:rPr>
          <w:sz w:val="22"/>
          <w:szCs w:val="22"/>
        </w:rPr>
      </w:pPr>
    </w:p>
    <w:p w14:paraId="6D1BEF05" w14:textId="77777777" w:rsidR="00AD17FD" w:rsidRPr="00AD17FD" w:rsidRDefault="00AD17FD" w:rsidP="001019DA">
      <w:pPr>
        <w:jc w:val="both"/>
        <w:rPr>
          <w:sz w:val="22"/>
          <w:szCs w:val="22"/>
        </w:rPr>
      </w:pPr>
      <w:r w:rsidRPr="00AD17FD">
        <w:rPr>
          <w:sz w:val="22"/>
          <w:szCs w:val="22"/>
        </w:rPr>
        <w:t>A staff member will meet with the student to discuss the issue, clarify expectations, and document the warning internally. No formal letter is issued at this stage.</w:t>
      </w:r>
    </w:p>
    <w:p w14:paraId="63AD8A40" w14:textId="77777777" w:rsidR="00AD17FD" w:rsidRPr="00AD17FD" w:rsidRDefault="00AD17FD" w:rsidP="001019DA">
      <w:pPr>
        <w:jc w:val="both"/>
        <w:rPr>
          <w:sz w:val="22"/>
          <w:szCs w:val="22"/>
        </w:rPr>
      </w:pPr>
    </w:p>
    <w:p w14:paraId="139DA7C6" w14:textId="77777777" w:rsidR="00AD17FD" w:rsidRPr="005F7623" w:rsidRDefault="00AD17FD" w:rsidP="001019DA">
      <w:pPr>
        <w:jc w:val="both"/>
        <w:rPr>
          <w:b/>
          <w:bCs/>
          <w:sz w:val="22"/>
          <w:szCs w:val="22"/>
        </w:rPr>
      </w:pPr>
      <w:r w:rsidRPr="005F7623">
        <w:rPr>
          <w:b/>
          <w:bCs/>
          <w:sz w:val="22"/>
          <w:szCs w:val="22"/>
        </w:rPr>
        <w:t>2. Written Warning</w:t>
      </w:r>
    </w:p>
    <w:p w14:paraId="223A0756" w14:textId="77777777" w:rsidR="00AD17FD" w:rsidRPr="00AD17FD" w:rsidRDefault="00AD17FD" w:rsidP="001019DA">
      <w:pPr>
        <w:jc w:val="both"/>
        <w:rPr>
          <w:sz w:val="22"/>
          <w:szCs w:val="22"/>
        </w:rPr>
      </w:pPr>
      <w:r w:rsidRPr="00AD17FD">
        <w:rPr>
          <w:sz w:val="22"/>
          <w:szCs w:val="22"/>
        </w:rPr>
        <w:t>For continued minor breaches or a serious breach of conduct the trainer will request action to be taken and the student will be notified of concerns to comply with PY program expectations.</w:t>
      </w:r>
    </w:p>
    <w:p w14:paraId="27382EC2" w14:textId="77777777" w:rsidR="00AD17FD" w:rsidRPr="00AD17FD" w:rsidRDefault="00AD17FD" w:rsidP="001019DA">
      <w:pPr>
        <w:jc w:val="both"/>
        <w:rPr>
          <w:sz w:val="22"/>
          <w:szCs w:val="22"/>
        </w:rPr>
      </w:pPr>
    </w:p>
    <w:p w14:paraId="31668B04" w14:textId="77777777" w:rsidR="00AD17FD" w:rsidRPr="00AD17FD" w:rsidRDefault="00AD17FD" w:rsidP="001019DA">
      <w:pPr>
        <w:jc w:val="both"/>
        <w:rPr>
          <w:sz w:val="22"/>
          <w:szCs w:val="22"/>
        </w:rPr>
      </w:pPr>
      <w:r w:rsidRPr="00AD17FD">
        <w:rPr>
          <w:sz w:val="22"/>
          <w:szCs w:val="22"/>
        </w:rPr>
        <w:t>A formal written warning will be issued by the program management. The warning will outline the misconduct, expectations moving forward and consequences of further breaches.</w:t>
      </w:r>
    </w:p>
    <w:p w14:paraId="45EFD751" w14:textId="77777777" w:rsidR="00AD17FD" w:rsidRPr="00AD17FD" w:rsidRDefault="00AD17FD" w:rsidP="001019DA">
      <w:pPr>
        <w:jc w:val="both"/>
        <w:rPr>
          <w:sz w:val="22"/>
          <w:szCs w:val="22"/>
        </w:rPr>
      </w:pPr>
    </w:p>
    <w:p w14:paraId="68BC23DC" w14:textId="14B8AE9A" w:rsidR="00CC4EB7" w:rsidRPr="005F7623" w:rsidRDefault="00AD17FD" w:rsidP="001019DA">
      <w:pPr>
        <w:jc w:val="both"/>
        <w:rPr>
          <w:b/>
          <w:bCs/>
          <w:sz w:val="22"/>
          <w:szCs w:val="22"/>
        </w:rPr>
      </w:pPr>
      <w:r w:rsidRPr="005F7623">
        <w:rPr>
          <w:b/>
          <w:bCs/>
          <w:sz w:val="22"/>
          <w:szCs w:val="22"/>
        </w:rPr>
        <w:lastRenderedPageBreak/>
        <w:t>3. Final Warning and Dismissal</w:t>
      </w:r>
    </w:p>
    <w:p w14:paraId="0F0B4020" w14:textId="404196BB" w:rsidR="00AD17FD" w:rsidRPr="00AD17FD" w:rsidRDefault="00AD17FD" w:rsidP="001019DA">
      <w:pPr>
        <w:jc w:val="both"/>
        <w:rPr>
          <w:sz w:val="22"/>
          <w:szCs w:val="22"/>
        </w:rPr>
      </w:pPr>
      <w:r w:rsidRPr="00AD17FD">
        <w:rPr>
          <w:sz w:val="22"/>
          <w:szCs w:val="22"/>
        </w:rPr>
        <w:t xml:space="preserve">Issued for continued breaches after prior warnings or any critical misconduct.  This is the final step and includes removing the </w:t>
      </w:r>
      <w:r w:rsidR="007D001A" w:rsidRPr="00AD17FD">
        <w:rPr>
          <w:sz w:val="22"/>
          <w:szCs w:val="22"/>
        </w:rPr>
        <w:t>students</w:t>
      </w:r>
      <w:r w:rsidRPr="00AD17FD">
        <w:rPr>
          <w:sz w:val="22"/>
          <w:szCs w:val="22"/>
        </w:rPr>
        <w:t xml:space="preserve"> from the PY program.</w:t>
      </w:r>
    </w:p>
    <w:p w14:paraId="3DA7C612" w14:textId="77777777" w:rsidR="00AD17FD" w:rsidRPr="00AD17FD" w:rsidRDefault="00AD17FD" w:rsidP="001019DA">
      <w:pPr>
        <w:jc w:val="both"/>
        <w:rPr>
          <w:sz w:val="22"/>
          <w:szCs w:val="22"/>
        </w:rPr>
      </w:pPr>
    </w:p>
    <w:p w14:paraId="68666E16" w14:textId="77777777" w:rsidR="00AD17FD" w:rsidRPr="00AD17FD" w:rsidRDefault="00AD17FD" w:rsidP="001019DA">
      <w:pPr>
        <w:jc w:val="both"/>
        <w:rPr>
          <w:sz w:val="22"/>
          <w:szCs w:val="22"/>
        </w:rPr>
      </w:pPr>
      <w:r w:rsidRPr="00AD17FD">
        <w:rPr>
          <w:sz w:val="22"/>
          <w:szCs w:val="22"/>
        </w:rPr>
        <w:t>Program management will review the case. If warranted, the student will be issued a final warning or dismissed from the program. The decision will be communicated in writing, and the student will have the right to appeal.</w:t>
      </w:r>
    </w:p>
    <w:p w14:paraId="3C9A421F" w14:textId="77777777" w:rsidR="00AD17FD" w:rsidRPr="00AD17FD" w:rsidRDefault="00AD17FD" w:rsidP="001019DA">
      <w:pPr>
        <w:jc w:val="both"/>
        <w:rPr>
          <w:sz w:val="22"/>
          <w:szCs w:val="22"/>
        </w:rPr>
      </w:pPr>
    </w:p>
    <w:p w14:paraId="04E769F8" w14:textId="77777777" w:rsidR="00AD17FD" w:rsidRDefault="00AD17FD" w:rsidP="007D001A">
      <w:pPr>
        <w:pStyle w:val="Heading3"/>
        <w:rPr>
          <w:rFonts w:ascii="Century Gothic" w:hAnsi="Century Gothic"/>
          <w:b/>
          <w:bCs/>
        </w:rPr>
      </w:pPr>
      <w:bookmarkStart w:id="37" w:name="_Toc209429104"/>
      <w:r w:rsidRPr="007D001A">
        <w:rPr>
          <w:rFonts w:ascii="Century Gothic" w:hAnsi="Century Gothic"/>
          <w:b/>
          <w:bCs/>
        </w:rPr>
        <w:t>Appeals</w:t>
      </w:r>
      <w:bookmarkEnd w:id="37"/>
    </w:p>
    <w:p w14:paraId="3913C7C4" w14:textId="77777777" w:rsidR="00CC4EB7" w:rsidRPr="00CC4EB7" w:rsidRDefault="00CC4EB7" w:rsidP="00CC4EB7"/>
    <w:p w14:paraId="3CD9063E" w14:textId="77777777" w:rsidR="00AD17FD" w:rsidRPr="00AD17FD" w:rsidRDefault="00AD17FD" w:rsidP="001019DA">
      <w:pPr>
        <w:jc w:val="both"/>
        <w:rPr>
          <w:sz w:val="22"/>
          <w:szCs w:val="22"/>
        </w:rPr>
      </w:pPr>
      <w:r w:rsidRPr="00AD17FD">
        <w:rPr>
          <w:sz w:val="22"/>
          <w:szCs w:val="22"/>
        </w:rPr>
        <w:t xml:space="preserve">Students may submit a written appeal within 10 business days of dismissal. The appeal will be reviewed by an executive committee, and a final decision will be communicated within 15 business days. </w:t>
      </w:r>
    </w:p>
    <w:p w14:paraId="6CD1465F" w14:textId="77777777" w:rsidR="00AD17FD" w:rsidRPr="00AD17FD" w:rsidRDefault="00AD17FD" w:rsidP="001019DA">
      <w:pPr>
        <w:jc w:val="both"/>
        <w:rPr>
          <w:sz w:val="22"/>
          <w:szCs w:val="22"/>
        </w:rPr>
      </w:pPr>
    </w:p>
    <w:p w14:paraId="3385A026" w14:textId="77777777" w:rsidR="00AD17FD" w:rsidRPr="00AD17FD" w:rsidRDefault="00AD17FD" w:rsidP="001019DA">
      <w:pPr>
        <w:jc w:val="both"/>
        <w:rPr>
          <w:sz w:val="22"/>
          <w:szCs w:val="22"/>
        </w:rPr>
      </w:pPr>
      <w:r w:rsidRPr="00AD17FD">
        <w:rPr>
          <w:sz w:val="22"/>
          <w:szCs w:val="22"/>
        </w:rPr>
        <w:t>All warnings (verbal, written and final) will be noted and stored in for the duration of the student enrolment.</w:t>
      </w:r>
    </w:p>
    <w:p w14:paraId="285DB28A" w14:textId="77777777" w:rsidR="00AD17FD" w:rsidRPr="00AD17FD" w:rsidRDefault="00AD17FD" w:rsidP="001019DA">
      <w:pPr>
        <w:jc w:val="both"/>
        <w:rPr>
          <w:sz w:val="22"/>
          <w:szCs w:val="22"/>
        </w:rPr>
      </w:pPr>
    </w:p>
    <w:p w14:paraId="2DFD6D77" w14:textId="60011C2A" w:rsidR="003D370F" w:rsidRPr="003D370F" w:rsidRDefault="00AD17FD" w:rsidP="001019DA">
      <w:pPr>
        <w:jc w:val="both"/>
        <w:rPr>
          <w:sz w:val="22"/>
        </w:rPr>
      </w:pPr>
      <w:r>
        <w:rPr>
          <w:sz w:val="22"/>
        </w:rPr>
        <w:br w:type="page"/>
      </w:r>
    </w:p>
    <w:p w14:paraId="02009251" w14:textId="3E1EEF3E" w:rsidR="005D4446" w:rsidRPr="00CC4EB7" w:rsidRDefault="005D4446" w:rsidP="001019DA">
      <w:pPr>
        <w:pStyle w:val="Heading1"/>
        <w:numPr>
          <w:ilvl w:val="0"/>
          <w:numId w:val="11"/>
        </w:numPr>
        <w:jc w:val="both"/>
        <w:rPr>
          <w:b/>
          <w:bCs/>
          <w:lang w:val="en-AU"/>
        </w:rPr>
      </w:pPr>
      <w:bookmarkStart w:id="38" w:name="_Toc191046628"/>
      <w:bookmarkStart w:id="39" w:name="_Toc209429105"/>
      <w:r w:rsidRPr="00CC4EB7">
        <w:rPr>
          <w:b/>
          <w:bCs/>
          <w:lang w:val="en-AU"/>
        </w:rPr>
        <w:lastRenderedPageBreak/>
        <w:t>PROGRAM PROCESS</w:t>
      </w:r>
      <w:bookmarkEnd w:id="38"/>
      <w:bookmarkEnd w:id="39"/>
    </w:p>
    <w:p w14:paraId="0CC9FC80" w14:textId="77777777" w:rsidR="005D4446" w:rsidRDefault="005D4446" w:rsidP="001019DA">
      <w:pPr>
        <w:jc w:val="both"/>
        <w:rPr>
          <w:lang w:val="en-AU"/>
        </w:rPr>
      </w:pPr>
    </w:p>
    <w:p w14:paraId="5D181547" w14:textId="0C5D3112" w:rsidR="005D4446" w:rsidRPr="005D4446" w:rsidRDefault="005D4446" w:rsidP="001019DA">
      <w:pPr>
        <w:jc w:val="both"/>
        <w:rPr>
          <w:lang w:val="en-AU"/>
        </w:rPr>
      </w:pPr>
      <w:r w:rsidRPr="005D4446">
        <w:rPr>
          <w:noProof/>
          <w:lang w:val="en-AU" w:eastAsia="en-AU"/>
        </w:rPr>
        <w:drawing>
          <wp:inline distT="0" distB="0" distL="0" distR="0" wp14:anchorId="6E3025E6" wp14:editId="2433F2AA">
            <wp:extent cx="5772150" cy="8292217"/>
            <wp:effectExtent l="0" t="0" r="0" b="0"/>
            <wp:docPr id="2087426567" name="Picture 1" descr="A blue and white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26567" name="Picture 1" descr="A blue and white diagram&#10;&#10;AI-generated content may be incorrect."/>
                    <pic:cNvPicPr/>
                  </pic:nvPicPr>
                  <pic:blipFill>
                    <a:blip r:embed="rId13"/>
                    <a:stretch>
                      <a:fillRect/>
                    </a:stretch>
                  </pic:blipFill>
                  <pic:spPr>
                    <a:xfrm>
                      <a:off x="0" y="0"/>
                      <a:ext cx="5777989" cy="8300605"/>
                    </a:xfrm>
                    <a:prstGeom prst="rect">
                      <a:avLst/>
                    </a:prstGeom>
                  </pic:spPr>
                </pic:pic>
              </a:graphicData>
            </a:graphic>
          </wp:inline>
        </w:drawing>
      </w:r>
    </w:p>
    <w:p w14:paraId="3A53129D" w14:textId="77777777" w:rsidR="005D4446" w:rsidRDefault="005D4446" w:rsidP="001019DA">
      <w:pPr>
        <w:jc w:val="both"/>
        <w:rPr>
          <w:lang w:val="en-AU"/>
        </w:rPr>
      </w:pPr>
    </w:p>
    <w:p w14:paraId="693CDB29" w14:textId="6302D59D" w:rsidR="005D4446" w:rsidRPr="007D001A" w:rsidRDefault="005D4446" w:rsidP="001019DA">
      <w:pPr>
        <w:pStyle w:val="Heading1"/>
        <w:numPr>
          <w:ilvl w:val="0"/>
          <w:numId w:val="11"/>
        </w:numPr>
        <w:jc w:val="both"/>
        <w:rPr>
          <w:b/>
          <w:bCs/>
          <w:lang w:val="en-AU"/>
        </w:rPr>
      </w:pPr>
      <w:bookmarkStart w:id="40" w:name="_Toc191046629"/>
      <w:bookmarkStart w:id="41" w:name="_Toc209429106"/>
      <w:r w:rsidRPr="007D001A">
        <w:rPr>
          <w:b/>
          <w:bCs/>
          <w:lang w:val="en-AU"/>
        </w:rPr>
        <w:lastRenderedPageBreak/>
        <w:t>INTERNSHIP FRAMEWORK</w:t>
      </w:r>
      <w:bookmarkEnd w:id="40"/>
      <w:bookmarkEnd w:id="41"/>
    </w:p>
    <w:p w14:paraId="7EBDFE2B" w14:textId="77777777" w:rsidR="00753AB8" w:rsidRDefault="00753AB8" w:rsidP="001019DA">
      <w:pPr>
        <w:jc w:val="both"/>
        <w:rPr>
          <w:lang w:val="en-AU"/>
        </w:rPr>
      </w:pPr>
    </w:p>
    <w:p w14:paraId="5BC690BF" w14:textId="17B3458D" w:rsidR="00753AB8" w:rsidRDefault="00753AB8" w:rsidP="001019DA">
      <w:pPr>
        <w:jc w:val="both"/>
        <w:rPr>
          <w:sz w:val="22"/>
          <w:szCs w:val="22"/>
          <w:lang w:val="en-AU"/>
        </w:rPr>
      </w:pPr>
      <w:r w:rsidRPr="00753AB8">
        <w:rPr>
          <w:sz w:val="22"/>
          <w:szCs w:val="22"/>
          <w:lang w:val="en-AU"/>
        </w:rPr>
        <w:t xml:space="preserve">The placement of Professional Year participants in appropriate industry internships is critical to the success of the Professional Year in Engineering program and to the ability of the participants to gain professional employment in Australia. </w:t>
      </w:r>
      <w:r>
        <w:rPr>
          <w:sz w:val="22"/>
          <w:szCs w:val="22"/>
          <w:lang w:val="en-AU"/>
        </w:rPr>
        <w:t>AIBL WPC</w:t>
      </w:r>
      <w:r w:rsidRPr="00753AB8">
        <w:rPr>
          <w:sz w:val="22"/>
          <w:szCs w:val="22"/>
          <w:lang w:val="en-AU"/>
        </w:rPr>
        <w:t xml:space="preserve"> should ensure each participant is placed in suitable industry internships (Host Companies) after they have completed the Program Orientation and the theoretical components of the Professional Year Program. The internships should be structured so that the theoretical elements of the Professional Year are incorporated into a practical engineering work situation. The internships should enhance their ability to work effectively in the Australian environment.</w:t>
      </w:r>
    </w:p>
    <w:p w14:paraId="6CF4F1B0" w14:textId="77777777" w:rsidR="007D001A" w:rsidRDefault="007D001A" w:rsidP="001019DA">
      <w:pPr>
        <w:jc w:val="both"/>
        <w:rPr>
          <w:sz w:val="22"/>
          <w:szCs w:val="22"/>
          <w:lang w:val="en-AU"/>
        </w:rPr>
      </w:pPr>
    </w:p>
    <w:p w14:paraId="392B1E0B" w14:textId="006C6CB7" w:rsidR="00753AB8" w:rsidRPr="007D001A" w:rsidRDefault="00753AB8" w:rsidP="007D001A">
      <w:pPr>
        <w:pStyle w:val="Heading3"/>
        <w:rPr>
          <w:rFonts w:ascii="Century Gothic" w:hAnsi="Century Gothic"/>
          <w:b/>
          <w:bCs/>
          <w:lang w:val="en-AU"/>
        </w:rPr>
      </w:pPr>
      <w:bookmarkStart w:id="42" w:name="_Toc191046630"/>
      <w:bookmarkStart w:id="43" w:name="_Toc209429107"/>
      <w:r w:rsidRPr="007D001A">
        <w:rPr>
          <w:rFonts w:ascii="Century Gothic" w:hAnsi="Century Gothic"/>
          <w:b/>
          <w:bCs/>
          <w:lang w:val="en-AU"/>
        </w:rPr>
        <w:t>Engineering Areas of Practice</w:t>
      </w:r>
      <w:bookmarkEnd w:id="42"/>
      <w:bookmarkEnd w:id="43"/>
    </w:p>
    <w:p w14:paraId="158A8CC3" w14:textId="77777777" w:rsidR="00753AB8" w:rsidRDefault="00753AB8" w:rsidP="001019DA">
      <w:pPr>
        <w:jc w:val="both"/>
        <w:rPr>
          <w:sz w:val="22"/>
          <w:szCs w:val="22"/>
          <w:lang w:val="en-AU"/>
        </w:rPr>
      </w:pPr>
      <w:r w:rsidRPr="00753AB8">
        <w:rPr>
          <w:sz w:val="22"/>
          <w:szCs w:val="22"/>
          <w:lang w:val="en-AU"/>
        </w:rPr>
        <w:t xml:space="preserve">Every effort will be made to ensure the participant is placed in a company that includes an engineering function related to the participant’s qualifications in a recognised engineering area of practice. Where that is not possible, the Professional Year Partner or its associated Internship Provider must demonstrate that the participant will be able to use their engineering competencies as well as general business skills during the internship placement. </w:t>
      </w:r>
    </w:p>
    <w:p w14:paraId="5BAA6423" w14:textId="77777777" w:rsidR="00753AB8" w:rsidRDefault="00753AB8" w:rsidP="001019DA">
      <w:pPr>
        <w:jc w:val="both"/>
        <w:rPr>
          <w:sz w:val="22"/>
          <w:szCs w:val="22"/>
          <w:lang w:val="en-AU"/>
        </w:rPr>
      </w:pPr>
    </w:p>
    <w:p w14:paraId="025CC431" w14:textId="77777777" w:rsidR="00753AB8" w:rsidRDefault="00753AB8" w:rsidP="001019DA">
      <w:pPr>
        <w:jc w:val="both"/>
        <w:rPr>
          <w:sz w:val="22"/>
          <w:szCs w:val="22"/>
          <w:lang w:val="en-AU"/>
        </w:rPr>
      </w:pPr>
      <w:r w:rsidRPr="00753AB8">
        <w:rPr>
          <w:sz w:val="22"/>
          <w:szCs w:val="22"/>
          <w:lang w:val="en-AU"/>
        </w:rPr>
        <w:t xml:space="preserve">The National Professional Engineers Register has defined the general areas of practice for professional engineers as: </w:t>
      </w:r>
    </w:p>
    <w:p w14:paraId="23B913F3" w14:textId="77777777" w:rsidR="00753AB8" w:rsidRPr="00753AB8" w:rsidRDefault="00753AB8" w:rsidP="001019DA">
      <w:pPr>
        <w:pStyle w:val="ListParagraph"/>
        <w:numPr>
          <w:ilvl w:val="0"/>
          <w:numId w:val="36"/>
        </w:numPr>
        <w:jc w:val="both"/>
        <w:rPr>
          <w:rFonts w:ascii="Century Gothic" w:hAnsi="Century Gothic"/>
          <w:sz w:val="24"/>
          <w:szCs w:val="24"/>
        </w:rPr>
      </w:pPr>
      <w:r w:rsidRPr="00753AB8">
        <w:rPr>
          <w:rFonts w:ascii="Century Gothic" w:hAnsi="Century Gothic"/>
          <w:sz w:val="24"/>
          <w:szCs w:val="24"/>
        </w:rPr>
        <w:t xml:space="preserve">Civil </w:t>
      </w:r>
    </w:p>
    <w:p w14:paraId="59F0F87D" w14:textId="606364A1" w:rsidR="00753AB8" w:rsidRPr="00753AB8" w:rsidRDefault="00753AB8" w:rsidP="001019DA">
      <w:pPr>
        <w:pStyle w:val="ListParagraph"/>
        <w:numPr>
          <w:ilvl w:val="0"/>
          <w:numId w:val="36"/>
        </w:numPr>
        <w:jc w:val="both"/>
        <w:rPr>
          <w:rFonts w:ascii="Century Gothic" w:hAnsi="Century Gothic"/>
          <w:sz w:val="24"/>
          <w:szCs w:val="24"/>
        </w:rPr>
      </w:pPr>
      <w:r w:rsidRPr="00753AB8">
        <w:rPr>
          <w:rFonts w:ascii="Century Gothic" w:hAnsi="Century Gothic"/>
          <w:sz w:val="24"/>
          <w:szCs w:val="24"/>
        </w:rPr>
        <w:t xml:space="preserve">Environmental </w:t>
      </w:r>
    </w:p>
    <w:p w14:paraId="72B59665" w14:textId="77777777" w:rsidR="00753AB8" w:rsidRPr="00753AB8" w:rsidRDefault="00753AB8" w:rsidP="001019DA">
      <w:pPr>
        <w:pStyle w:val="ListParagraph"/>
        <w:numPr>
          <w:ilvl w:val="0"/>
          <w:numId w:val="36"/>
        </w:numPr>
        <w:jc w:val="both"/>
        <w:rPr>
          <w:rFonts w:ascii="Century Gothic" w:hAnsi="Century Gothic"/>
          <w:sz w:val="24"/>
          <w:szCs w:val="24"/>
        </w:rPr>
      </w:pPr>
      <w:r w:rsidRPr="00753AB8">
        <w:rPr>
          <w:rFonts w:ascii="Century Gothic" w:hAnsi="Century Gothic"/>
          <w:sz w:val="24"/>
          <w:szCs w:val="24"/>
        </w:rPr>
        <w:t xml:space="preserve">Biomedical </w:t>
      </w:r>
    </w:p>
    <w:p w14:paraId="256DEFD3" w14:textId="77777777" w:rsidR="00753AB8" w:rsidRPr="00753AB8" w:rsidRDefault="00753AB8" w:rsidP="001019DA">
      <w:pPr>
        <w:pStyle w:val="ListParagraph"/>
        <w:numPr>
          <w:ilvl w:val="0"/>
          <w:numId w:val="36"/>
        </w:numPr>
        <w:jc w:val="both"/>
        <w:rPr>
          <w:rFonts w:ascii="Century Gothic" w:hAnsi="Century Gothic"/>
          <w:sz w:val="24"/>
          <w:szCs w:val="24"/>
        </w:rPr>
      </w:pPr>
      <w:r w:rsidRPr="00753AB8">
        <w:rPr>
          <w:rFonts w:ascii="Century Gothic" w:hAnsi="Century Gothic"/>
          <w:sz w:val="24"/>
          <w:szCs w:val="24"/>
        </w:rPr>
        <w:t xml:space="preserve">Chemical </w:t>
      </w:r>
    </w:p>
    <w:p w14:paraId="195E5B2D" w14:textId="77777777" w:rsidR="00753AB8" w:rsidRPr="00753AB8" w:rsidRDefault="00753AB8" w:rsidP="001019DA">
      <w:pPr>
        <w:pStyle w:val="ListParagraph"/>
        <w:numPr>
          <w:ilvl w:val="0"/>
          <w:numId w:val="36"/>
        </w:numPr>
        <w:jc w:val="both"/>
        <w:rPr>
          <w:rFonts w:ascii="Century Gothic" w:hAnsi="Century Gothic"/>
          <w:sz w:val="24"/>
          <w:szCs w:val="24"/>
        </w:rPr>
      </w:pPr>
      <w:r w:rsidRPr="00753AB8">
        <w:rPr>
          <w:rFonts w:ascii="Century Gothic" w:hAnsi="Century Gothic"/>
          <w:sz w:val="24"/>
          <w:szCs w:val="24"/>
        </w:rPr>
        <w:t xml:space="preserve">Structural </w:t>
      </w:r>
    </w:p>
    <w:p w14:paraId="21BEE244" w14:textId="77777777" w:rsidR="00753AB8" w:rsidRPr="00753AB8" w:rsidRDefault="00753AB8" w:rsidP="001019DA">
      <w:pPr>
        <w:pStyle w:val="ListParagraph"/>
        <w:numPr>
          <w:ilvl w:val="0"/>
          <w:numId w:val="36"/>
        </w:numPr>
        <w:jc w:val="both"/>
        <w:rPr>
          <w:rFonts w:ascii="Century Gothic" w:hAnsi="Century Gothic"/>
          <w:sz w:val="24"/>
          <w:szCs w:val="24"/>
        </w:rPr>
      </w:pPr>
      <w:r w:rsidRPr="00753AB8">
        <w:rPr>
          <w:rFonts w:ascii="Century Gothic" w:hAnsi="Century Gothic"/>
          <w:sz w:val="24"/>
          <w:szCs w:val="24"/>
        </w:rPr>
        <w:t xml:space="preserve">Building Services </w:t>
      </w:r>
    </w:p>
    <w:p w14:paraId="0D80038B" w14:textId="77777777" w:rsidR="00753AB8" w:rsidRPr="00753AB8" w:rsidRDefault="00753AB8" w:rsidP="001019DA">
      <w:pPr>
        <w:pStyle w:val="ListParagraph"/>
        <w:numPr>
          <w:ilvl w:val="0"/>
          <w:numId w:val="36"/>
        </w:numPr>
        <w:jc w:val="both"/>
        <w:rPr>
          <w:rFonts w:ascii="Century Gothic" w:hAnsi="Century Gothic"/>
          <w:sz w:val="24"/>
          <w:szCs w:val="24"/>
        </w:rPr>
      </w:pPr>
      <w:r w:rsidRPr="00753AB8">
        <w:rPr>
          <w:rFonts w:ascii="Century Gothic" w:hAnsi="Century Gothic"/>
          <w:sz w:val="24"/>
          <w:szCs w:val="24"/>
        </w:rPr>
        <w:t xml:space="preserve">Electrical </w:t>
      </w:r>
    </w:p>
    <w:p w14:paraId="69A7BF0F" w14:textId="77777777" w:rsidR="00753AB8" w:rsidRPr="00753AB8" w:rsidRDefault="00753AB8" w:rsidP="001019DA">
      <w:pPr>
        <w:pStyle w:val="ListParagraph"/>
        <w:numPr>
          <w:ilvl w:val="0"/>
          <w:numId w:val="36"/>
        </w:numPr>
        <w:jc w:val="both"/>
        <w:rPr>
          <w:rFonts w:ascii="Century Gothic" w:hAnsi="Century Gothic"/>
          <w:sz w:val="24"/>
          <w:szCs w:val="24"/>
        </w:rPr>
      </w:pPr>
      <w:r w:rsidRPr="00753AB8">
        <w:rPr>
          <w:rFonts w:ascii="Century Gothic" w:hAnsi="Century Gothic"/>
          <w:sz w:val="24"/>
          <w:szCs w:val="24"/>
        </w:rPr>
        <w:t xml:space="preserve">Mechanical </w:t>
      </w:r>
    </w:p>
    <w:p w14:paraId="635DEA9D" w14:textId="471E1F68" w:rsidR="00753AB8" w:rsidRDefault="00753AB8" w:rsidP="001019DA">
      <w:pPr>
        <w:pStyle w:val="ListParagraph"/>
        <w:numPr>
          <w:ilvl w:val="0"/>
          <w:numId w:val="36"/>
        </w:numPr>
        <w:jc w:val="both"/>
        <w:rPr>
          <w:rFonts w:ascii="Century Gothic" w:hAnsi="Century Gothic"/>
          <w:sz w:val="24"/>
          <w:szCs w:val="24"/>
        </w:rPr>
      </w:pPr>
      <w:r w:rsidRPr="00753AB8">
        <w:rPr>
          <w:rFonts w:ascii="Century Gothic" w:hAnsi="Century Gothic"/>
          <w:sz w:val="24"/>
          <w:szCs w:val="24"/>
        </w:rPr>
        <w:t>ITEE (Information Technology, Telecommunications and Electronics Engineering)</w:t>
      </w:r>
    </w:p>
    <w:p w14:paraId="6D8BA4AA" w14:textId="77777777" w:rsidR="007D001A" w:rsidRDefault="007D001A" w:rsidP="007D001A">
      <w:pPr>
        <w:jc w:val="both"/>
        <w:rPr>
          <w:sz w:val="24"/>
        </w:rPr>
      </w:pPr>
    </w:p>
    <w:p w14:paraId="2A0A4372" w14:textId="77777777" w:rsidR="007D001A" w:rsidRDefault="007D001A" w:rsidP="007D001A">
      <w:pPr>
        <w:jc w:val="both"/>
        <w:rPr>
          <w:sz w:val="24"/>
        </w:rPr>
      </w:pPr>
    </w:p>
    <w:p w14:paraId="62613991" w14:textId="77777777" w:rsidR="007D001A" w:rsidRDefault="007D001A" w:rsidP="007D001A">
      <w:pPr>
        <w:jc w:val="both"/>
        <w:rPr>
          <w:sz w:val="24"/>
        </w:rPr>
      </w:pPr>
    </w:p>
    <w:p w14:paraId="47508D89" w14:textId="77777777" w:rsidR="007D001A" w:rsidRDefault="007D001A" w:rsidP="007D001A">
      <w:pPr>
        <w:jc w:val="both"/>
        <w:rPr>
          <w:sz w:val="24"/>
        </w:rPr>
      </w:pPr>
    </w:p>
    <w:p w14:paraId="213B6668" w14:textId="77777777" w:rsidR="007D001A" w:rsidRDefault="007D001A" w:rsidP="007D001A">
      <w:pPr>
        <w:jc w:val="both"/>
        <w:rPr>
          <w:sz w:val="24"/>
        </w:rPr>
      </w:pPr>
    </w:p>
    <w:p w14:paraId="4602D20A" w14:textId="77777777" w:rsidR="007D001A" w:rsidRDefault="007D001A" w:rsidP="007D001A">
      <w:pPr>
        <w:jc w:val="both"/>
        <w:rPr>
          <w:sz w:val="24"/>
        </w:rPr>
      </w:pPr>
    </w:p>
    <w:p w14:paraId="12D16F0C" w14:textId="77777777" w:rsidR="007D001A" w:rsidRDefault="007D001A" w:rsidP="007D001A">
      <w:pPr>
        <w:jc w:val="both"/>
        <w:rPr>
          <w:sz w:val="24"/>
        </w:rPr>
      </w:pPr>
    </w:p>
    <w:p w14:paraId="220294D0" w14:textId="77777777" w:rsidR="007D001A" w:rsidRDefault="007D001A" w:rsidP="007D001A">
      <w:pPr>
        <w:jc w:val="both"/>
        <w:rPr>
          <w:sz w:val="24"/>
        </w:rPr>
      </w:pPr>
    </w:p>
    <w:p w14:paraId="55C28AE5" w14:textId="77777777" w:rsidR="007D001A" w:rsidRPr="007D001A" w:rsidRDefault="007D001A" w:rsidP="007D001A">
      <w:pPr>
        <w:jc w:val="both"/>
        <w:rPr>
          <w:sz w:val="24"/>
        </w:rPr>
      </w:pPr>
    </w:p>
    <w:p w14:paraId="6BCF7DF0" w14:textId="695EEFCE" w:rsidR="009E2E89" w:rsidRDefault="4608316C" w:rsidP="007D001A">
      <w:pPr>
        <w:pStyle w:val="Heading3"/>
        <w:rPr>
          <w:rFonts w:ascii="Century Gothic" w:eastAsia="Verdana" w:hAnsi="Century Gothic" w:cs="Verdana"/>
          <w:b/>
          <w:bCs/>
          <w:lang w:val="en-AU"/>
        </w:rPr>
      </w:pPr>
      <w:bookmarkStart w:id="44" w:name="_Toc191046631"/>
      <w:bookmarkStart w:id="45" w:name="_Toc209429108"/>
      <w:r w:rsidRPr="007D001A">
        <w:rPr>
          <w:rFonts w:ascii="Century Gothic" w:hAnsi="Century Gothic"/>
          <w:b/>
          <w:bCs/>
          <w:lang w:val="en-AU"/>
        </w:rPr>
        <w:lastRenderedPageBreak/>
        <w:t>Internship Placement</w:t>
      </w:r>
      <w:bookmarkEnd w:id="44"/>
      <w:bookmarkEnd w:id="45"/>
      <w:r w:rsidRPr="007D001A">
        <w:rPr>
          <w:rFonts w:ascii="Century Gothic" w:hAnsi="Century Gothic"/>
          <w:b/>
          <w:bCs/>
          <w:lang w:val="en-AU"/>
        </w:rPr>
        <w:t xml:space="preserve"> </w:t>
      </w:r>
      <w:r w:rsidRPr="007D001A">
        <w:rPr>
          <w:rFonts w:ascii="Century Gothic" w:eastAsia="Verdana" w:hAnsi="Century Gothic" w:cs="Verdana"/>
          <w:b/>
          <w:bCs/>
          <w:lang w:val="en-AU"/>
        </w:rPr>
        <w:t xml:space="preserve"> </w:t>
      </w:r>
    </w:p>
    <w:p w14:paraId="62470CE6" w14:textId="77777777" w:rsidR="007D001A" w:rsidRPr="007D001A" w:rsidRDefault="007D001A" w:rsidP="007D001A">
      <w:pPr>
        <w:rPr>
          <w:lang w:val="en-AU"/>
        </w:rPr>
      </w:pPr>
    </w:p>
    <w:p w14:paraId="29805AB0" w14:textId="31F053E6" w:rsidR="4608316C" w:rsidRPr="007D001A" w:rsidRDefault="4608316C" w:rsidP="007D001A">
      <w:pPr>
        <w:pStyle w:val="Heading4"/>
        <w:rPr>
          <w:rFonts w:ascii="Century Gothic" w:hAnsi="Century Gothic"/>
          <w:b/>
          <w:bCs/>
          <w:sz w:val="24"/>
        </w:rPr>
      </w:pPr>
      <w:bookmarkStart w:id="46" w:name="_Toc191046632"/>
      <w:r w:rsidRPr="007D001A">
        <w:rPr>
          <w:rFonts w:ascii="Century Gothic" w:hAnsi="Century Gothic"/>
          <w:b/>
          <w:bCs/>
          <w:sz w:val="24"/>
        </w:rPr>
        <w:t>Pre-enrolment</w:t>
      </w:r>
      <w:bookmarkEnd w:id="46"/>
    </w:p>
    <w:p w14:paraId="053F479C" w14:textId="224E35EF" w:rsidR="4608316C" w:rsidRPr="009E2E89" w:rsidRDefault="007E6029" w:rsidP="001019DA">
      <w:pPr>
        <w:jc w:val="both"/>
        <w:rPr>
          <w:rFonts w:eastAsiaTheme="majorEastAsia" w:cstheme="majorBidi"/>
          <w:sz w:val="22"/>
          <w:szCs w:val="22"/>
        </w:rPr>
      </w:pPr>
      <w:proofErr w:type="gramStart"/>
      <w:r>
        <w:rPr>
          <w:sz w:val="22"/>
          <w:szCs w:val="22"/>
        </w:rPr>
        <w:t>BDM’s</w:t>
      </w:r>
      <w:proofErr w:type="gramEnd"/>
      <w:r w:rsidR="4608316C" w:rsidRPr="009E2E89">
        <w:rPr>
          <w:sz w:val="22"/>
          <w:szCs w:val="22"/>
        </w:rPr>
        <w:t xml:space="preserve"> will conduct pre-enrolment interviews with the </w:t>
      </w:r>
      <w:proofErr w:type="gramStart"/>
      <w:r>
        <w:rPr>
          <w:sz w:val="22"/>
          <w:szCs w:val="22"/>
        </w:rPr>
        <w:t>WPC’s</w:t>
      </w:r>
      <w:proofErr w:type="gramEnd"/>
      <w:r w:rsidR="4608316C" w:rsidRPr="009E2E89">
        <w:rPr>
          <w:sz w:val="22"/>
          <w:szCs w:val="22"/>
        </w:rPr>
        <w:t xml:space="preserve"> to assist </w:t>
      </w:r>
      <w:r>
        <w:rPr>
          <w:sz w:val="22"/>
          <w:szCs w:val="22"/>
        </w:rPr>
        <w:t xml:space="preserve">as and when required </w:t>
      </w:r>
      <w:r w:rsidR="4608316C" w:rsidRPr="009E2E89">
        <w:rPr>
          <w:sz w:val="22"/>
          <w:szCs w:val="22"/>
        </w:rPr>
        <w:t xml:space="preserve">in determining eligibility for the applicant’s selected program and to identify any challenges for placement. </w:t>
      </w:r>
    </w:p>
    <w:p w14:paraId="1768C2FE" w14:textId="77777777" w:rsidR="009E2E89" w:rsidRDefault="009E2E89" w:rsidP="001019DA">
      <w:pPr>
        <w:jc w:val="both"/>
        <w:rPr>
          <w:sz w:val="22"/>
          <w:szCs w:val="22"/>
        </w:rPr>
      </w:pPr>
    </w:p>
    <w:p w14:paraId="6617CEB5" w14:textId="1EABDCB5" w:rsidR="4608316C" w:rsidRPr="00C52C6F" w:rsidRDefault="4608316C" w:rsidP="001019DA">
      <w:pPr>
        <w:jc w:val="both"/>
        <w:rPr>
          <w:rFonts w:eastAsiaTheme="majorEastAsia" w:cstheme="majorBidi"/>
          <w:sz w:val="22"/>
          <w:szCs w:val="22"/>
        </w:rPr>
      </w:pPr>
      <w:r w:rsidRPr="009E2E89">
        <w:rPr>
          <w:sz w:val="22"/>
          <w:szCs w:val="22"/>
        </w:rPr>
        <w:t xml:space="preserve">Where the </w:t>
      </w:r>
      <w:r w:rsidR="007E6029">
        <w:rPr>
          <w:sz w:val="22"/>
          <w:szCs w:val="22"/>
        </w:rPr>
        <w:t>BDM</w:t>
      </w:r>
      <w:r w:rsidRPr="009E2E89">
        <w:rPr>
          <w:sz w:val="22"/>
          <w:szCs w:val="22"/>
        </w:rPr>
        <w:t xml:space="preserve"> identifies challenges for placement which may be remedied, the </w:t>
      </w:r>
      <w:r w:rsidR="007E6029">
        <w:rPr>
          <w:sz w:val="22"/>
          <w:szCs w:val="22"/>
        </w:rPr>
        <w:t>BDM</w:t>
      </w:r>
      <w:r w:rsidRPr="009E2E89">
        <w:rPr>
          <w:sz w:val="22"/>
          <w:szCs w:val="22"/>
        </w:rPr>
        <w:t xml:space="preserve"> will liaise with the </w:t>
      </w:r>
      <w:r w:rsidR="007E6029">
        <w:rPr>
          <w:sz w:val="22"/>
          <w:szCs w:val="22"/>
        </w:rPr>
        <w:t>WPC</w:t>
      </w:r>
      <w:r w:rsidRPr="009E2E89">
        <w:rPr>
          <w:sz w:val="22"/>
          <w:szCs w:val="22"/>
        </w:rPr>
        <w:t xml:space="preserve"> </w:t>
      </w:r>
      <w:r w:rsidRPr="00C52C6F">
        <w:rPr>
          <w:sz w:val="22"/>
          <w:szCs w:val="22"/>
        </w:rPr>
        <w:t xml:space="preserve">and </w:t>
      </w:r>
      <w:r w:rsidR="00725EE4" w:rsidRPr="00C52C6F">
        <w:rPr>
          <w:sz w:val="22"/>
          <w:szCs w:val="22"/>
        </w:rPr>
        <w:t>P</w:t>
      </w:r>
      <w:r w:rsidR="00582E68" w:rsidRPr="00C52C6F">
        <w:rPr>
          <w:sz w:val="22"/>
          <w:szCs w:val="22"/>
        </w:rPr>
        <w:t>rogram</w:t>
      </w:r>
      <w:r w:rsidR="00725EE4" w:rsidRPr="00C52C6F">
        <w:rPr>
          <w:sz w:val="22"/>
          <w:szCs w:val="22"/>
        </w:rPr>
        <w:t xml:space="preserve"> </w:t>
      </w:r>
      <w:r w:rsidRPr="00C52C6F">
        <w:rPr>
          <w:sz w:val="22"/>
          <w:szCs w:val="22"/>
        </w:rPr>
        <w:t>Manager to determine remedial strategies.</w:t>
      </w:r>
    </w:p>
    <w:p w14:paraId="23AFDE8D" w14:textId="77777777" w:rsidR="009E2E89" w:rsidRPr="00C52C6F" w:rsidRDefault="009E2E89" w:rsidP="001019DA">
      <w:pPr>
        <w:jc w:val="both"/>
        <w:rPr>
          <w:sz w:val="22"/>
          <w:szCs w:val="22"/>
        </w:rPr>
      </w:pPr>
    </w:p>
    <w:p w14:paraId="710E0F9A" w14:textId="64E155F7" w:rsidR="4608316C" w:rsidRPr="009E2E89" w:rsidRDefault="4608316C" w:rsidP="001019DA">
      <w:pPr>
        <w:jc w:val="both"/>
        <w:rPr>
          <w:rFonts w:eastAsiaTheme="majorEastAsia" w:cstheme="majorBidi"/>
          <w:sz w:val="22"/>
          <w:szCs w:val="22"/>
        </w:rPr>
      </w:pPr>
      <w:r w:rsidRPr="00C52C6F">
        <w:rPr>
          <w:sz w:val="22"/>
          <w:szCs w:val="22"/>
        </w:rPr>
        <w:t xml:space="preserve">Where the </w:t>
      </w:r>
      <w:r w:rsidR="007E6029">
        <w:rPr>
          <w:sz w:val="22"/>
          <w:szCs w:val="22"/>
        </w:rPr>
        <w:t>BDM</w:t>
      </w:r>
      <w:r w:rsidRPr="00C52C6F">
        <w:rPr>
          <w:sz w:val="22"/>
          <w:szCs w:val="22"/>
        </w:rPr>
        <w:t xml:space="preserve"> determines the applicant is unsuitable for placement, the </w:t>
      </w:r>
      <w:r w:rsidR="007E6029">
        <w:rPr>
          <w:sz w:val="22"/>
          <w:szCs w:val="22"/>
        </w:rPr>
        <w:t>BDM</w:t>
      </w:r>
      <w:r w:rsidRPr="00C52C6F">
        <w:rPr>
          <w:sz w:val="22"/>
          <w:szCs w:val="22"/>
        </w:rPr>
        <w:t xml:space="preserve"> may recommend to the </w:t>
      </w:r>
      <w:r w:rsidR="00725EE4" w:rsidRPr="00C52C6F">
        <w:rPr>
          <w:sz w:val="22"/>
          <w:szCs w:val="22"/>
        </w:rPr>
        <w:t>P</w:t>
      </w:r>
      <w:r w:rsidR="00582E68" w:rsidRPr="00C52C6F">
        <w:rPr>
          <w:sz w:val="22"/>
          <w:szCs w:val="22"/>
        </w:rPr>
        <w:t>rogram</w:t>
      </w:r>
      <w:r w:rsidR="00725EE4" w:rsidRPr="00C52C6F">
        <w:rPr>
          <w:sz w:val="22"/>
          <w:szCs w:val="22"/>
        </w:rPr>
        <w:t xml:space="preserve"> </w:t>
      </w:r>
      <w:r w:rsidRPr="00C52C6F">
        <w:rPr>
          <w:sz w:val="22"/>
          <w:szCs w:val="22"/>
        </w:rPr>
        <w:t xml:space="preserve">Manager that the applicant not be accepted into the program. The </w:t>
      </w:r>
      <w:r w:rsidR="00725EE4" w:rsidRPr="00C52C6F">
        <w:rPr>
          <w:sz w:val="22"/>
          <w:szCs w:val="22"/>
        </w:rPr>
        <w:t>P</w:t>
      </w:r>
      <w:r w:rsidR="00582E68" w:rsidRPr="00C52C6F">
        <w:rPr>
          <w:sz w:val="22"/>
          <w:szCs w:val="22"/>
        </w:rPr>
        <w:t>rogram</w:t>
      </w:r>
      <w:r w:rsidR="00725EE4" w:rsidRPr="00C52C6F">
        <w:rPr>
          <w:sz w:val="22"/>
          <w:szCs w:val="22"/>
        </w:rPr>
        <w:t xml:space="preserve"> </w:t>
      </w:r>
      <w:r w:rsidRPr="00C52C6F">
        <w:rPr>
          <w:sz w:val="22"/>
          <w:szCs w:val="22"/>
        </w:rPr>
        <w:t>Manager</w:t>
      </w:r>
      <w:r w:rsidRPr="009E2E89">
        <w:rPr>
          <w:sz w:val="22"/>
          <w:szCs w:val="22"/>
        </w:rPr>
        <w:t xml:space="preserve"> will make the final determination for acceptance into a program.</w:t>
      </w:r>
    </w:p>
    <w:p w14:paraId="58CAF16B" w14:textId="77777777" w:rsidR="009E2E89" w:rsidRDefault="009E2E89" w:rsidP="001019DA">
      <w:pPr>
        <w:jc w:val="both"/>
        <w:rPr>
          <w:sz w:val="22"/>
          <w:szCs w:val="22"/>
        </w:rPr>
      </w:pPr>
    </w:p>
    <w:p w14:paraId="04B3AB03" w14:textId="3A9A9ECD" w:rsidR="4608316C" w:rsidRPr="009E2E89" w:rsidRDefault="4608316C" w:rsidP="001019DA">
      <w:pPr>
        <w:jc w:val="both"/>
        <w:rPr>
          <w:rFonts w:eastAsiaTheme="majorEastAsia" w:cstheme="majorBidi"/>
          <w:sz w:val="22"/>
          <w:szCs w:val="22"/>
        </w:rPr>
      </w:pPr>
      <w:r w:rsidRPr="009E2E89">
        <w:rPr>
          <w:sz w:val="22"/>
          <w:szCs w:val="22"/>
        </w:rPr>
        <w:t>During the application process or during class all participants will be required to put their resume into the required CV format.</w:t>
      </w:r>
    </w:p>
    <w:p w14:paraId="04CC1445" w14:textId="77777777" w:rsidR="00D97CA3" w:rsidRDefault="00D97CA3" w:rsidP="001019DA">
      <w:pPr>
        <w:jc w:val="both"/>
        <w:rPr>
          <w:b/>
          <w:sz w:val="22"/>
          <w:szCs w:val="22"/>
        </w:rPr>
      </w:pPr>
    </w:p>
    <w:p w14:paraId="58E9CED6" w14:textId="32E6AD45" w:rsidR="00D97CA3" w:rsidRPr="007D001A" w:rsidRDefault="4608316C" w:rsidP="007D001A">
      <w:pPr>
        <w:pStyle w:val="Heading4"/>
        <w:rPr>
          <w:rFonts w:ascii="Century Gothic" w:hAnsi="Century Gothic"/>
          <w:b/>
          <w:bCs/>
          <w:i w:val="0"/>
          <w:iCs w:val="0"/>
          <w:sz w:val="24"/>
        </w:rPr>
      </w:pPr>
      <w:r w:rsidRPr="007D001A">
        <w:rPr>
          <w:rFonts w:ascii="Century Gothic" w:hAnsi="Century Gothic"/>
          <w:b/>
          <w:bCs/>
          <w:i w:val="0"/>
          <w:iCs w:val="0"/>
          <w:sz w:val="24"/>
        </w:rPr>
        <w:t>Student Preliminary Interviews</w:t>
      </w:r>
    </w:p>
    <w:p w14:paraId="4E4634E5" w14:textId="035BD4FA" w:rsidR="4608316C" w:rsidRPr="00D97CA3" w:rsidRDefault="00783161" w:rsidP="001019DA">
      <w:pPr>
        <w:jc w:val="both"/>
        <w:rPr>
          <w:rFonts w:eastAsiaTheme="majorEastAsia" w:cstheme="majorBidi"/>
          <w:sz w:val="22"/>
          <w:szCs w:val="22"/>
        </w:rPr>
      </w:pPr>
      <w:r>
        <w:rPr>
          <w:sz w:val="22"/>
          <w:szCs w:val="22"/>
        </w:rPr>
        <w:t>WPC</w:t>
      </w:r>
      <w:r w:rsidR="4608316C" w:rsidRPr="00D97CA3">
        <w:rPr>
          <w:sz w:val="22"/>
          <w:szCs w:val="22"/>
        </w:rPr>
        <w:t xml:space="preserve">s will conduct a preliminary face-to-face interview with participants. Allowing the </w:t>
      </w:r>
      <w:r>
        <w:rPr>
          <w:sz w:val="22"/>
          <w:szCs w:val="22"/>
        </w:rPr>
        <w:t>WPC</w:t>
      </w:r>
      <w:r w:rsidR="4608316C" w:rsidRPr="00D97CA3">
        <w:rPr>
          <w:sz w:val="22"/>
          <w:szCs w:val="22"/>
        </w:rPr>
        <w:t xml:space="preserve"> team to assess participant’s communication and interview skills, to go over resumes and suggest improvements. This should happen approximately 4-6 weeks prior to completion of the coursework component before internships are due to commence. </w:t>
      </w:r>
    </w:p>
    <w:p w14:paraId="12F89693" w14:textId="77777777" w:rsidR="00D97CA3" w:rsidRDefault="00D97CA3" w:rsidP="001019DA">
      <w:pPr>
        <w:jc w:val="both"/>
        <w:rPr>
          <w:sz w:val="22"/>
          <w:szCs w:val="22"/>
        </w:rPr>
      </w:pPr>
    </w:p>
    <w:p w14:paraId="31389DF7" w14:textId="0E7DFEA5" w:rsidR="4608316C" w:rsidRPr="00D97CA3" w:rsidRDefault="4608316C" w:rsidP="001019DA">
      <w:pPr>
        <w:jc w:val="both"/>
        <w:rPr>
          <w:rFonts w:eastAsiaTheme="majorEastAsia" w:cstheme="majorBidi"/>
          <w:sz w:val="22"/>
          <w:szCs w:val="22"/>
        </w:rPr>
      </w:pPr>
      <w:r w:rsidRPr="00D97CA3">
        <w:rPr>
          <w:sz w:val="22"/>
          <w:szCs w:val="22"/>
        </w:rPr>
        <w:t xml:space="preserve">Each participant will </w:t>
      </w:r>
      <w:r w:rsidR="00753AB8">
        <w:rPr>
          <w:sz w:val="22"/>
          <w:szCs w:val="22"/>
        </w:rPr>
        <w:t>meet with the Work</w:t>
      </w:r>
      <w:r w:rsidRPr="00D97CA3">
        <w:rPr>
          <w:sz w:val="22"/>
          <w:szCs w:val="22"/>
        </w:rPr>
        <w:t xml:space="preserve"> Placement Coordinator, who will:</w:t>
      </w:r>
    </w:p>
    <w:p w14:paraId="59928600" w14:textId="77777777" w:rsidR="00D97CA3" w:rsidRDefault="00D97CA3" w:rsidP="001019DA">
      <w:pPr>
        <w:jc w:val="both"/>
        <w:rPr>
          <w:sz w:val="22"/>
          <w:szCs w:val="22"/>
        </w:rPr>
      </w:pPr>
    </w:p>
    <w:p w14:paraId="1F960E40" w14:textId="69862050" w:rsidR="4608316C" w:rsidRPr="00D97CA3" w:rsidRDefault="4608316C" w:rsidP="001019DA">
      <w:pPr>
        <w:pStyle w:val="ListParagraph"/>
        <w:numPr>
          <w:ilvl w:val="0"/>
          <w:numId w:val="26"/>
        </w:numPr>
        <w:jc w:val="both"/>
        <w:rPr>
          <w:rFonts w:ascii="Century Gothic" w:eastAsiaTheme="majorEastAsia" w:hAnsi="Century Gothic" w:cstheme="majorBidi"/>
        </w:rPr>
      </w:pPr>
      <w:r w:rsidRPr="00D97CA3">
        <w:rPr>
          <w:rFonts w:ascii="Century Gothic" w:hAnsi="Century Gothic"/>
        </w:rPr>
        <w:t xml:space="preserve">Advise participants to treat the preliminary interview like a formal </w:t>
      </w:r>
      <w:r w:rsidRPr="00D97CA3">
        <w:rPr>
          <w:rFonts w:ascii="Century Gothic" w:hAnsi="Century Gothic"/>
        </w:rPr>
        <w:br/>
        <w:t>interview, including being dressed appropriately, be on time etc.</w:t>
      </w:r>
    </w:p>
    <w:p w14:paraId="2944EEE3" w14:textId="10A3326C" w:rsidR="4608316C" w:rsidRPr="00D97CA3" w:rsidRDefault="4608316C" w:rsidP="001019DA">
      <w:pPr>
        <w:pStyle w:val="ListParagraph"/>
        <w:numPr>
          <w:ilvl w:val="0"/>
          <w:numId w:val="26"/>
        </w:numPr>
        <w:jc w:val="both"/>
        <w:rPr>
          <w:rFonts w:ascii="Century Gothic" w:eastAsiaTheme="majorEastAsia" w:hAnsi="Century Gothic" w:cstheme="majorBidi"/>
        </w:rPr>
      </w:pPr>
      <w:r w:rsidRPr="00D97CA3">
        <w:rPr>
          <w:rFonts w:ascii="Century Gothic" w:hAnsi="Century Gothic"/>
        </w:rPr>
        <w:t xml:space="preserve">Provide participants with feedback on areas for improvement. </w:t>
      </w:r>
    </w:p>
    <w:p w14:paraId="4704531A" w14:textId="01324C63" w:rsidR="4608316C" w:rsidRPr="00D97CA3" w:rsidRDefault="4608316C" w:rsidP="001019DA">
      <w:pPr>
        <w:pStyle w:val="ListParagraph"/>
        <w:numPr>
          <w:ilvl w:val="0"/>
          <w:numId w:val="26"/>
        </w:numPr>
        <w:jc w:val="both"/>
        <w:rPr>
          <w:rFonts w:ascii="Century Gothic" w:eastAsiaTheme="majorEastAsia" w:hAnsi="Century Gothic" w:cstheme="majorBidi"/>
        </w:rPr>
      </w:pPr>
      <w:r w:rsidRPr="00D97CA3">
        <w:rPr>
          <w:rFonts w:ascii="Century Gothic" w:hAnsi="Century Gothic"/>
        </w:rPr>
        <w:t>Obtain a report from the Program Trainer on the participant’s course performance</w:t>
      </w:r>
    </w:p>
    <w:p w14:paraId="79BEA843" w14:textId="3CF46221" w:rsidR="4608316C" w:rsidRPr="00D97CA3" w:rsidRDefault="4608316C" w:rsidP="001019DA">
      <w:pPr>
        <w:pStyle w:val="ListParagraph"/>
        <w:numPr>
          <w:ilvl w:val="0"/>
          <w:numId w:val="26"/>
        </w:numPr>
        <w:jc w:val="both"/>
        <w:rPr>
          <w:rFonts w:ascii="Century Gothic" w:eastAsiaTheme="majorEastAsia" w:hAnsi="Century Gothic" w:cstheme="majorBidi"/>
        </w:rPr>
      </w:pPr>
      <w:r w:rsidRPr="00D97CA3">
        <w:rPr>
          <w:rFonts w:ascii="Century Gothic" w:hAnsi="Century Gothic"/>
        </w:rPr>
        <w:t xml:space="preserve">Liaise with the Program Trainer and the </w:t>
      </w:r>
      <w:r w:rsidR="00725EE4">
        <w:rPr>
          <w:rFonts w:ascii="Century Gothic" w:hAnsi="Century Gothic"/>
        </w:rPr>
        <w:t>PYP</w:t>
      </w:r>
      <w:r w:rsidR="00725EE4" w:rsidRPr="00D97CA3">
        <w:rPr>
          <w:rFonts w:ascii="Century Gothic" w:hAnsi="Century Gothic"/>
        </w:rPr>
        <w:t xml:space="preserve"> </w:t>
      </w:r>
      <w:r w:rsidRPr="00D97CA3">
        <w:rPr>
          <w:rFonts w:ascii="Century Gothic" w:hAnsi="Century Gothic"/>
        </w:rPr>
        <w:t xml:space="preserve">Manager on the appropriate action taken to address issues identified at enrolment that require remedial action. </w:t>
      </w:r>
    </w:p>
    <w:p w14:paraId="2EF88BDD" w14:textId="66BE8545" w:rsidR="4608316C" w:rsidRPr="00D97CA3" w:rsidRDefault="4608316C" w:rsidP="001019DA">
      <w:pPr>
        <w:pStyle w:val="ListParagraph"/>
        <w:numPr>
          <w:ilvl w:val="0"/>
          <w:numId w:val="26"/>
        </w:numPr>
        <w:jc w:val="both"/>
        <w:rPr>
          <w:rFonts w:ascii="Century Gothic" w:eastAsiaTheme="majorEastAsia" w:hAnsi="Century Gothic" w:cstheme="majorBidi"/>
        </w:rPr>
      </w:pPr>
      <w:r w:rsidRPr="00D97CA3">
        <w:rPr>
          <w:rFonts w:ascii="Century Gothic" w:hAnsi="Century Gothic"/>
        </w:rPr>
        <w:t>Will consult with the participants to achieve a suitable internship placement; participants will not have the option of choosing the Host Company.</w:t>
      </w:r>
    </w:p>
    <w:p w14:paraId="347E18D9" w14:textId="77777777" w:rsidR="00D97CA3" w:rsidRDefault="4608316C" w:rsidP="001019DA">
      <w:pPr>
        <w:jc w:val="both"/>
        <w:rPr>
          <w:sz w:val="22"/>
          <w:szCs w:val="22"/>
        </w:rPr>
      </w:pPr>
      <w:r w:rsidRPr="00D97CA3">
        <w:rPr>
          <w:sz w:val="22"/>
          <w:szCs w:val="22"/>
        </w:rPr>
        <w:t xml:space="preserve">A participant who rejects an internship opportunity should provide reasons, in writing, as to why they do not wish to proceed with the proposed internship. Participants who provide reasonable grounds should be given other interview opportunities. </w:t>
      </w:r>
      <w:r w:rsidRPr="00D97CA3">
        <w:rPr>
          <w:sz w:val="22"/>
          <w:szCs w:val="22"/>
        </w:rPr>
        <w:br/>
      </w:r>
    </w:p>
    <w:p w14:paraId="110B0CFE" w14:textId="75A29A3D" w:rsidR="4608316C" w:rsidRPr="00D97CA3" w:rsidRDefault="4608316C" w:rsidP="001019DA">
      <w:pPr>
        <w:jc w:val="both"/>
        <w:rPr>
          <w:rFonts w:eastAsiaTheme="majorEastAsia" w:cstheme="majorBidi"/>
          <w:sz w:val="22"/>
          <w:szCs w:val="22"/>
        </w:rPr>
      </w:pPr>
      <w:r w:rsidRPr="00D97CA3">
        <w:rPr>
          <w:sz w:val="22"/>
          <w:szCs w:val="22"/>
        </w:rPr>
        <w:t xml:space="preserve">Disputes around such issues should be managed by the </w:t>
      </w:r>
      <w:r w:rsidR="00783161">
        <w:rPr>
          <w:sz w:val="22"/>
          <w:szCs w:val="22"/>
        </w:rPr>
        <w:t>WPC</w:t>
      </w:r>
      <w:r w:rsidRPr="00D97CA3">
        <w:rPr>
          <w:sz w:val="22"/>
          <w:szCs w:val="22"/>
        </w:rPr>
        <w:t xml:space="preserve"> Team Leader or </w:t>
      </w:r>
      <w:r w:rsidR="00725EE4">
        <w:rPr>
          <w:sz w:val="22"/>
          <w:szCs w:val="22"/>
        </w:rPr>
        <w:t>P</w:t>
      </w:r>
      <w:r w:rsidR="007E6029">
        <w:rPr>
          <w:sz w:val="22"/>
          <w:szCs w:val="22"/>
        </w:rPr>
        <w:t>rogram</w:t>
      </w:r>
      <w:r w:rsidR="00725EE4" w:rsidRPr="00D97CA3">
        <w:rPr>
          <w:sz w:val="22"/>
          <w:szCs w:val="22"/>
        </w:rPr>
        <w:t xml:space="preserve"> </w:t>
      </w:r>
      <w:r w:rsidRPr="00D97CA3">
        <w:rPr>
          <w:sz w:val="22"/>
          <w:szCs w:val="22"/>
        </w:rPr>
        <w:t xml:space="preserve">Manager as appropriate. </w:t>
      </w:r>
    </w:p>
    <w:p w14:paraId="3DE3627D" w14:textId="62F61208" w:rsidR="4608316C" w:rsidRPr="00D97CA3" w:rsidRDefault="4608316C" w:rsidP="001019DA">
      <w:pPr>
        <w:jc w:val="both"/>
        <w:rPr>
          <w:rFonts w:eastAsiaTheme="majorEastAsia" w:cstheme="majorBidi"/>
          <w:sz w:val="22"/>
          <w:szCs w:val="22"/>
        </w:rPr>
      </w:pPr>
      <w:r w:rsidRPr="00D97CA3">
        <w:rPr>
          <w:sz w:val="22"/>
          <w:szCs w:val="22"/>
        </w:rPr>
        <w:t xml:space="preserve">Participants who repeatedly refuse internship interviews or appropriate placement opportunities will be required to source their own placement. </w:t>
      </w:r>
    </w:p>
    <w:p w14:paraId="384EE8EA" w14:textId="77777777" w:rsidR="007E6029" w:rsidRDefault="007E6029" w:rsidP="001019DA">
      <w:pPr>
        <w:jc w:val="both"/>
        <w:rPr>
          <w:b/>
          <w:sz w:val="22"/>
          <w:szCs w:val="22"/>
        </w:rPr>
      </w:pPr>
    </w:p>
    <w:p w14:paraId="25545A1D" w14:textId="77777777" w:rsidR="007E6029" w:rsidRDefault="007E6029" w:rsidP="001019DA">
      <w:pPr>
        <w:jc w:val="both"/>
        <w:rPr>
          <w:b/>
          <w:sz w:val="22"/>
          <w:szCs w:val="22"/>
        </w:rPr>
      </w:pPr>
    </w:p>
    <w:p w14:paraId="3F131A1D" w14:textId="59640B3B" w:rsidR="009E2E89" w:rsidRPr="007D001A" w:rsidRDefault="4608316C" w:rsidP="007D001A">
      <w:pPr>
        <w:pStyle w:val="Heading4"/>
        <w:rPr>
          <w:rFonts w:ascii="Century Gothic" w:hAnsi="Century Gothic"/>
          <w:b/>
          <w:bCs/>
          <w:sz w:val="24"/>
        </w:rPr>
      </w:pPr>
      <w:r w:rsidRPr="007D001A">
        <w:rPr>
          <w:rFonts w:ascii="Century Gothic" w:hAnsi="Century Gothic"/>
          <w:b/>
          <w:bCs/>
          <w:sz w:val="24"/>
        </w:rPr>
        <w:lastRenderedPageBreak/>
        <w:t xml:space="preserve">Short Listing </w:t>
      </w:r>
    </w:p>
    <w:p w14:paraId="64AF295A" w14:textId="3BD36345" w:rsidR="4608316C" w:rsidRPr="00541F7E" w:rsidRDefault="4608316C" w:rsidP="001019DA">
      <w:pPr>
        <w:jc w:val="both"/>
        <w:rPr>
          <w:rFonts w:eastAsia="Yu Mincho"/>
          <w:bCs/>
          <w:sz w:val="22"/>
          <w:szCs w:val="22"/>
        </w:rPr>
      </w:pPr>
      <w:r w:rsidRPr="00541F7E">
        <w:rPr>
          <w:sz w:val="22"/>
          <w:szCs w:val="22"/>
        </w:rPr>
        <w:t xml:space="preserve">Prospective Host Companies will be sent a shortlist of suitable internship candidates’ resumes by the </w:t>
      </w:r>
      <w:r w:rsidR="00783161">
        <w:rPr>
          <w:sz w:val="22"/>
          <w:szCs w:val="22"/>
        </w:rPr>
        <w:t>WPC</w:t>
      </w:r>
      <w:r w:rsidRPr="00541F7E">
        <w:rPr>
          <w:sz w:val="22"/>
          <w:szCs w:val="22"/>
        </w:rPr>
        <w:t xml:space="preserve"> to enable them to identify whom they wish to interview.</w:t>
      </w:r>
      <w:r w:rsidR="421FC061" w:rsidRPr="00541F7E">
        <w:rPr>
          <w:sz w:val="22"/>
          <w:szCs w:val="22"/>
        </w:rPr>
        <w:t xml:space="preserve"> </w:t>
      </w:r>
      <w:r w:rsidRPr="00541F7E">
        <w:rPr>
          <w:sz w:val="22"/>
          <w:szCs w:val="22"/>
        </w:rPr>
        <w:t>Interview with Host Companies:</w:t>
      </w:r>
    </w:p>
    <w:p w14:paraId="2CBB0B1C" w14:textId="68F40C36" w:rsidR="4608316C" w:rsidRPr="00541F7E" w:rsidRDefault="4608316C" w:rsidP="001019DA">
      <w:pPr>
        <w:pStyle w:val="ListParagraph"/>
        <w:numPr>
          <w:ilvl w:val="0"/>
          <w:numId w:val="29"/>
        </w:numPr>
        <w:jc w:val="both"/>
        <w:rPr>
          <w:rFonts w:ascii="Century Gothic" w:hAnsi="Century Gothic"/>
        </w:rPr>
      </w:pPr>
      <w:r w:rsidRPr="00541F7E">
        <w:rPr>
          <w:rFonts w:ascii="Century Gothic" w:hAnsi="Century Gothic"/>
        </w:rPr>
        <w:t xml:space="preserve">Host companies must interview participants before accepting them as an intern. </w:t>
      </w:r>
    </w:p>
    <w:p w14:paraId="3DD90F89" w14:textId="6E921D96" w:rsidR="4608316C" w:rsidRPr="00541F7E" w:rsidRDefault="4608316C" w:rsidP="001019DA">
      <w:pPr>
        <w:pStyle w:val="ListParagraph"/>
        <w:numPr>
          <w:ilvl w:val="0"/>
          <w:numId w:val="29"/>
        </w:numPr>
        <w:jc w:val="both"/>
        <w:rPr>
          <w:rFonts w:ascii="Century Gothic" w:hAnsi="Century Gothic"/>
        </w:rPr>
      </w:pPr>
      <w:r w:rsidRPr="00541F7E">
        <w:rPr>
          <w:rFonts w:ascii="Century Gothic" w:hAnsi="Century Gothic"/>
        </w:rPr>
        <w:t xml:space="preserve">Participants will be advised to treat the Host Company Internship interview like any formal job interview. </w:t>
      </w:r>
    </w:p>
    <w:p w14:paraId="0EB2C84C" w14:textId="7565091C" w:rsidR="4608316C" w:rsidRPr="00541F7E" w:rsidRDefault="4608316C" w:rsidP="001019DA">
      <w:pPr>
        <w:pStyle w:val="ListParagraph"/>
        <w:numPr>
          <w:ilvl w:val="0"/>
          <w:numId w:val="27"/>
        </w:numPr>
        <w:jc w:val="both"/>
        <w:rPr>
          <w:rFonts w:ascii="Century Gothic" w:eastAsiaTheme="majorEastAsia" w:hAnsi="Century Gothic" w:cstheme="majorBidi"/>
        </w:rPr>
      </w:pPr>
      <w:r w:rsidRPr="00541F7E">
        <w:rPr>
          <w:rFonts w:ascii="Century Gothic" w:hAnsi="Century Gothic"/>
        </w:rPr>
        <w:t>Participants should ensure that they dress appropriately and arrive on time.</w:t>
      </w:r>
    </w:p>
    <w:p w14:paraId="63F3463A" w14:textId="6DD3C710" w:rsidR="4608316C" w:rsidRPr="00541F7E" w:rsidRDefault="4608316C" w:rsidP="001019DA">
      <w:pPr>
        <w:pStyle w:val="ListParagraph"/>
        <w:numPr>
          <w:ilvl w:val="0"/>
          <w:numId w:val="27"/>
        </w:numPr>
        <w:jc w:val="both"/>
        <w:rPr>
          <w:rFonts w:ascii="Century Gothic" w:eastAsiaTheme="majorEastAsia" w:hAnsi="Century Gothic" w:cstheme="majorBidi"/>
        </w:rPr>
      </w:pPr>
      <w:r w:rsidRPr="00541F7E">
        <w:rPr>
          <w:rFonts w:ascii="Century Gothic" w:hAnsi="Century Gothic"/>
        </w:rPr>
        <w:t>Where a participant is unsuccessful, they must be given feedback on their interview, given coaching, if required, and shortlisted to further companies.</w:t>
      </w:r>
    </w:p>
    <w:p w14:paraId="6C6BB6B4" w14:textId="28139E01" w:rsidR="4608316C" w:rsidRPr="00541F7E" w:rsidRDefault="4608316C" w:rsidP="001019DA">
      <w:pPr>
        <w:pStyle w:val="ListParagraph"/>
        <w:numPr>
          <w:ilvl w:val="0"/>
          <w:numId w:val="27"/>
        </w:numPr>
        <w:jc w:val="both"/>
        <w:rPr>
          <w:rFonts w:ascii="Century Gothic" w:eastAsiaTheme="majorEastAsia" w:hAnsi="Century Gothic" w:cstheme="majorBidi"/>
        </w:rPr>
      </w:pPr>
      <w:r w:rsidRPr="00541F7E">
        <w:rPr>
          <w:rFonts w:ascii="Century Gothic" w:hAnsi="Century Gothic"/>
        </w:rPr>
        <w:t xml:space="preserve">Interviews, both successful and unsuccessful are to be logged in the </w:t>
      </w:r>
      <w:r w:rsidRPr="007E6029">
        <w:rPr>
          <w:rFonts w:ascii="Century Gothic" w:hAnsi="Century Gothic"/>
        </w:rPr>
        <w:t>student management software</w:t>
      </w:r>
    </w:p>
    <w:p w14:paraId="4621C263" w14:textId="356D13D8" w:rsidR="00541F7E" w:rsidRPr="007D001A" w:rsidRDefault="4608316C" w:rsidP="007D001A">
      <w:pPr>
        <w:pStyle w:val="Heading3"/>
        <w:rPr>
          <w:rFonts w:ascii="Century Gothic" w:hAnsi="Century Gothic"/>
          <w:b/>
          <w:bCs/>
          <w:lang w:val="en-AU"/>
        </w:rPr>
      </w:pPr>
      <w:bookmarkStart w:id="47" w:name="_Toc209429109"/>
      <w:r w:rsidRPr="007D001A">
        <w:rPr>
          <w:rFonts w:ascii="Century Gothic" w:hAnsi="Century Gothic"/>
          <w:b/>
          <w:bCs/>
          <w:lang w:val="en-AU"/>
        </w:rPr>
        <w:t>Internship Documentation</w:t>
      </w:r>
      <w:r w:rsidR="35529399" w:rsidRPr="007D001A">
        <w:rPr>
          <w:rFonts w:ascii="Century Gothic" w:hAnsi="Century Gothic"/>
          <w:b/>
          <w:bCs/>
          <w:lang w:val="en-AU"/>
        </w:rPr>
        <w:t xml:space="preserve"> – Albright Institute of Business</w:t>
      </w:r>
      <w:bookmarkEnd w:id="47"/>
    </w:p>
    <w:p w14:paraId="1F735ECB" w14:textId="5D19D0F4" w:rsidR="4608316C" w:rsidRPr="00541F7E" w:rsidRDefault="4608316C" w:rsidP="001019DA">
      <w:pPr>
        <w:jc w:val="both"/>
        <w:rPr>
          <w:sz w:val="22"/>
          <w:szCs w:val="22"/>
        </w:rPr>
      </w:pPr>
      <w:r w:rsidRPr="00541F7E">
        <w:rPr>
          <w:sz w:val="22"/>
          <w:szCs w:val="22"/>
          <w:lang w:val="en-AU"/>
        </w:rPr>
        <w:t xml:space="preserve">The documents required for internship compliance, must be received and saved into files electronically and uploaded to </w:t>
      </w:r>
      <w:r w:rsidR="007D001A" w:rsidRPr="007E6029">
        <w:rPr>
          <w:sz w:val="22"/>
          <w:szCs w:val="22"/>
          <w:lang w:val="en-AU"/>
        </w:rPr>
        <w:t>SharePoint</w:t>
      </w:r>
      <w:r w:rsidR="00733C79" w:rsidRPr="007E6029">
        <w:rPr>
          <w:sz w:val="22"/>
          <w:szCs w:val="22"/>
          <w:lang w:val="en-AU"/>
        </w:rPr>
        <w:t>.</w:t>
      </w:r>
    </w:p>
    <w:p w14:paraId="601CB0E0" w14:textId="77777777" w:rsidR="00541F7E" w:rsidRDefault="00541F7E" w:rsidP="001019DA">
      <w:pPr>
        <w:jc w:val="both"/>
        <w:rPr>
          <w:sz w:val="22"/>
          <w:szCs w:val="22"/>
          <w:lang w:val="en-AU"/>
        </w:rPr>
      </w:pPr>
    </w:p>
    <w:p w14:paraId="0D96963D" w14:textId="778FBB98" w:rsidR="4608316C" w:rsidRPr="00541F7E" w:rsidRDefault="4608316C" w:rsidP="001019DA">
      <w:pPr>
        <w:jc w:val="both"/>
        <w:rPr>
          <w:sz w:val="22"/>
          <w:szCs w:val="22"/>
        </w:rPr>
      </w:pPr>
      <w:r w:rsidRPr="00541F7E">
        <w:rPr>
          <w:sz w:val="22"/>
          <w:szCs w:val="22"/>
          <w:lang w:val="en-AU"/>
        </w:rPr>
        <w:t>Failure to obtain the following four documents is a breach of the requirements of the vocational training program:</w:t>
      </w:r>
    </w:p>
    <w:p w14:paraId="373636BD" w14:textId="77777777" w:rsidR="00541F7E" w:rsidRDefault="00541F7E" w:rsidP="001019DA">
      <w:pPr>
        <w:jc w:val="both"/>
        <w:rPr>
          <w:b/>
          <w:sz w:val="22"/>
          <w:szCs w:val="22"/>
        </w:rPr>
      </w:pPr>
    </w:p>
    <w:p w14:paraId="26C9BE7A" w14:textId="3E67F69F" w:rsidR="00541F7E" w:rsidRPr="007D001A" w:rsidRDefault="4608316C" w:rsidP="007D001A">
      <w:pPr>
        <w:rPr>
          <w:b/>
          <w:bCs/>
          <w:sz w:val="24"/>
        </w:rPr>
      </w:pPr>
      <w:r w:rsidRPr="007D001A">
        <w:rPr>
          <w:b/>
          <w:bCs/>
          <w:sz w:val="24"/>
        </w:rPr>
        <w:t>Job Descriptions</w:t>
      </w:r>
    </w:p>
    <w:p w14:paraId="62D2A542" w14:textId="0FC89330" w:rsidR="4608316C" w:rsidRPr="00541F7E" w:rsidRDefault="00541F7E" w:rsidP="001019DA">
      <w:pPr>
        <w:jc w:val="both"/>
        <w:rPr>
          <w:rFonts w:eastAsiaTheme="majorEastAsia" w:cstheme="majorBidi"/>
          <w:sz w:val="22"/>
          <w:szCs w:val="22"/>
        </w:rPr>
      </w:pPr>
      <w:r>
        <w:rPr>
          <w:sz w:val="22"/>
          <w:szCs w:val="22"/>
        </w:rPr>
        <w:t xml:space="preserve">It is </w:t>
      </w:r>
      <w:r w:rsidR="00733C79">
        <w:rPr>
          <w:sz w:val="22"/>
          <w:szCs w:val="22"/>
        </w:rPr>
        <w:t xml:space="preserve">an </w:t>
      </w:r>
      <w:r w:rsidR="6420AE7F" w:rsidRPr="00541F7E">
        <w:rPr>
          <w:sz w:val="22"/>
          <w:szCs w:val="22"/>
        </w:rPr>
        <w:t>AIBL</w:t>
      </w:r>
      <w:r w:rsidR="4608316C" w:rsidRPr="00541F7E">
        <w:rPr>
          <w:sz w:val="22"/>
          <w:szCs w:val="22"/>
        </w:rPr>
        <w:t xml:space="preserve"> </w:t>
      </w:r>
      <w:proofErr w:type="spellStart"/>
      <w:r w:rsidR="4608316C" w:rsidRPr="00541F7E">
        <w:rPr>
          <w:sz w:val="22"/>
          <w:szCs w:val="22"/>
        </w:rPr>
        <w:t>organisational</w:t>
      </w:r>
      <w:proofErr w:type="spellEnd"/>
      <w:r w:rsidR="4608316C" w:rsidRPr="00541F7E">
        <w:rPr>
          <w:sz w:val="22"/>
          <w:szCs w:val="22"/>
        </w:rPr>
        <w:t xml:space="preserve"> requirement that a detailed job description (can also be a Position Description or Vocational Placement Description) should be obtained from the Host Company for each intern. This should include:</w:t>
      </w:r>
    </w:p>
    <w:p w14:paraId="024A4E26" w14:textId="04B8F0BB" w:rsidR="4608316C" w:rsidRPr="00541F7E" w:rsidRDefault="4608316C" w:rsidP="001019DA">
      <w:pPr>
        <w:jc w:val="both"/>
        <w:rPr>
          <w:rFonts w:eastAsiaTheme="majorEastAsia" w:cstheme="majorBidi"/>
          <w:sz w:val="22"/>
          <w:szCs w:val="22"/>
        </w:rPr>
      </w:pPr>
      <w:r w:rsidRPr="00541F7E">
        <w:rPr>
          <w:sz w:val="22"/>
          <w:szCs w:val="22"/>
        </w:rPr>
        <w:t xml:space="preserve">the name of the host </w:t>
      </w:r>
      <w:proofErr w:type="spellStart"/>
      <w:r w:rsidRPr="00541F7E">
        <w:rPr>
          <w:sz w:val="22"/>
          <w:szCs w:val="22"/>
        </w:rPr>
        <w:t>organisation</w:t>
      </w:r>
      <w:proofErr w:type="spellEnd"/>
      <w:r w:rsidRPr="00541F7E">
        <w:rPr>
          <w:sz w:val="22"/>
          <w:szCs w:val="22"/>
        </w:rPr>
        <w:t xml:space="preserve">, </w:t>
      </w:r>
    </w:p>
    <w:p w14:paraId="5EA08256" w14:textId="0B91C18C" w:rsidR="4608316C" w:rsidRPr="00541F7E" w:rsidRDefault="4608316C" w:rsidP="001019DA">
      <w:pPr>
        <w:pStyle w:val="ListParagraph"/>
        <w:numPr>
          <w:ilvl w:val="0"/>
          <w:numId w:val="28"/>
        </w:numPr>
        <w:jc w:val="both"/>
        <w:rPr>
          <w:rFonts w:ascii="Century Gothic" w:eastAsiaTheme="majorEastAsia" w:hAnsi="Century Gothic" w:cstheme="majorBidi"/>
        </w:rPr>
      </w:pPr>
      <w:r w:rsidRPr="00541F7E">
        <w:rPr>
          <w:rFonts w:ascii="Century Gothic" w:hAnsi="Century Gothic"/>
        </w:rPr>
        <w:t xml:space="preserve">the host organisation logo, </w:t>
      </w:r>
    </w:p>
    <w:p w14:paraId="2570C3A5" w14:textId="2F743212" w:rsidR="4608316C" w:rsidRPr="00541F7E" w:rsidRDefault="4608316C" w:rsidP="001019DA">
      <w:pPr>
        <w:pStyle w:val="ListParagraph"/>
        <w:numPr>
          <w:ilvl w:val="0"/>
          <w:numId w:val="28"/>
        </w:numPr>
        <w:jc w:val="both"/>
        <w:rPr>
          <w:rFonts w:ascii="Century Gothic" w:eastAsiaTheme="majorEastAsia" w:hAnsi="Century Gothic" w:cstheme="majorBidi"/>
        </w:rPr>
      </w:pPr>
      <w:r w:rsidRPr="00541F7E">
        <w:rPr>
          <w:rFonts w:ascii="Century Gothic" w:hAnsi="Century Gothic"/>
        </w:rPr>
        <w:t xml:space="preserve">a detailed outline of the training and activities to be conducted during the course of the internship. </w:t>
      </w:r>
    </w:p>
    <w:p w14:paraId="15B415A8" w14:textId="77912D80" w:rsidR="4608316C" w:rsidRPr="00541F7E" w:rsidRDefault="4608316C" w:rsidP="001019DA">
      <w:pPr>
        <w:pStyle w:val="ListParagraph"/>
        <w:numPr>
          <w:ilvl w:val="0"/>
          <w:numId w:val="28"/>
        </w:numPr>
        <w:jc w:val="both"/>
        <w:rPr>
          <w:rFonts w:ascii="Century Gothic" w:eastAsiaTheme="majorEastAsia" w:hAnsi="Century Gothic" w:cstheme="majorBidi"/>
        </w:rPr>
      </w:pPr>
      <w:r w:rsidRPr="00541F7E">
        <w:rPr>
          <w:rFonts w:ascii="Century Gothic" w:hAnsi="Century Gothic"/>
        </w:rPr>
        <w:t xml:space="preserve">Bullet points in an email do not constitute an appropriate JD/PD/VPD. </w:t>
      </w:r>
    </w:p>
    <w:p w14:paraId="64E48EAA" w14:textId="36B44FD9" w:rsidR="00541F7E" w:rsidRPr="00CC4EB7" w:rsidRDefault="4608316C" w:rsidP="00CC4EB7">
      <w:pPr>
        <w:rPr>
          <w:b/>
          <w:bCs/>
          <w:sz w:val="24"/>
        </w:rPr>
      </w:pPr>
      <w:r w:rsidRPr="00CC4EB7">
        <w:rPr>
          <w:b/>
          <w:bCs/>
          <w:sz w:val="24"/>
        </w:rPr>
        <w:t>Internship Agreement</w:t>
      </w:r>
    </w:p>
    <w:p w14:paraId="4BD5F798" w14:textId="6F4FD67E" w:rsidR="4608316C" w:rsidRPr="00541F7E" w:rsidRDefault="4608316C" w:rsidP="001019DA">
      <w:pPr>
        <w:jc w:val="both"/>
        <w:rPr>
          <w:rFonts w:eastAsiaTheme="majorEastAsia" w:cstheme="majorBidi"/>
          <w:sz w:val="22"/>
          <w:szCs w:val="22"/>
        </w:rPr>
      </w:pPr>
      <w:r w:rsidRPr="00541F7E">
        <w:rPr>
          <w:sz w:val="22"/>
          <w:szCs w:val="22"/>
        </w:rPr>
        <w:t>Once a participant has been accepted by a Host Company an Internship Agreement must be signed by all three parties (</w:t>
      </w:r>
      <w:r w:rsidR="28FBF18D" w:rsidRPr="00541F7E">
        <w:rPr>
          <w:sz w:val="22"/>
          <w:szCs w:val="22"/>
        </w:rPr>
        <w:t>AIBL</w:t>
      </w:r>
      <w:r w:rsidRPr="00541F7E">
        <w:rPr>
          <w:sz w:val="22"/>
          <w:szCs w:val="22"/>
        </w:rPr>
        <w:t>, Host Company and participant).</w:t>
      </w:r>
    </w:p>
    <w:p w14:paraId="6DA9EF50" w14:textId="1D58D4FB" w:rsidR="4608316C" w:rsidRPr="00541F7E" w:rsidRDefault="4608316C" w:rsidP="001019DA">
      <w:pPr>
        <w:pStyle w:val="ListParagraph"/>
        <w:numPr>
          <w:ilvl w:val="0"/>
          <w:numId w:val="30"/>
        </w:numPr>
        <w:jc w:val="both"/>
        <w:rPr>
          <w:rFonts w:ascii="Century Gothic" w:eastAsiaTheme="majorEastAsia" w:hAnsi="Century Gothic" w:cstheme="majorBidi"/>
        </w:rPr>
      </w:pPr>
      <w:r w:rsidRPr="00541F7E">
        <w:rPr>
          <w:rFonts w:ascii="Century Gothic" w:hAnsi="Century Gothic"/>
        </w:rPr>
        <w:t>A signed copy should be given to both the Host Company and the intern, and a copy must be added to the participant’s electronic file on</w:t>
      </w:r>
      <w:r w:rsidR="00733C79">
        <w:rPr>
          <w:rFonts w:ascii="Century Gothic" w:hAnsi="Century Gothic"/>
        </w:rPr>
        <w:t xml:space="preserve"> </w:t>
      </w:r>
      <w:proofErr w:type="spellStart"/>
      <w:r w:rsidR="00733C79">
        <w:rPr>
          <w:rFonts w:ascii="Century Gothic" w:hAnsi="Century Gothic"/>
        </w:rPr>
        <w:t>Sharepoint</w:t>
      </w:r>
      <w:proofErr w:type="spellEnd"/>
      <w:r w:rsidR="00733C79">
        <w:rPr>
          <w:rFonts w:ascii="Century Gothic" w:hAnsi="Century Gothic"/>
        </w:rPr>
        <w:t>.</w:t>
      </w:r>
      <w:r w:rsidRPr="00541F7E">
        <w:rPr>
          <w:rFonts w:ascii="Century Gothic" w:hAnsi="Century Gothic"/>
        </w:rPr>
        <w:t xml:space="preserve">  </w:t>
      </w:r>
    </w:p>
    <w:p w14:paraId="60C8B547" w14:textId="5F788AD4" w:rsidR="4608316C" w:rsidRPr="00CC4EB7" w:rsidRDefault="4608316C" w:rsidP="001019DA">
      <w:pPr>
        <w:pStyle w:val="ListParagraph"/>
        <w:numPr>
          <w:ilvl w:val="0"/>
          <w:numId w:val="30"/>
        </w:numPr>
        <w:jc w:val="both"/>
        <w:rPr>
          <w:rFonts w:ascii="Century Gothic" w:eastAsiaTheme="majorEastAsia" w:hAnsi="Century Gothic" w:cstheme="majorBidi"/>
        </w:rPr>
      </w:pPr>
      <w:r w:rsidRPr="00541F7E">
        <w:rPr>
          <w:rFonts w:ascii="Century Gothic" w:hAnsi="Century Gothic"/>
        </w:rPr>
        <w:t xml:space="preserve">The agreement must be signed before an intern enters the Host Company’s premises for the first day of their internship to ensure all parties are insured. There are no exceptions to this rule. </w:t>
      </w:r>
    </w:p>
    <w:p w14:paraId="292BC903" w14:textId="77777777" w:rsidR="00CC4EB7" w:rsidRDefault="00CC4EB7" w:rsidP="00CC4EB7">
      <w:pPr>
        <w:jc w:val="both"/>
        <w:rPr>
          <w:rFonts w:eastAsiaTheme="majorEastAsia" w:cstheme="majorBidi"/>
        </w:rPr>
      </w:pPr>
    </w:p>
    <w:p w14:paraId="262FAEBF" w14:textId="77777777" w:rsidR="00CC4EB7" w:rsidRDefault="00CC4EB7" w:rsidP="00CC4EB7">
      <w:pPr>
        <w:jc w:val="both"/>
        <w:rPr>
          <w:rFonts w:eastAsiaTheme="majorEastAsia" w:cstheme="majorBidi"/>
        </w:rPr>
      </w:pPr>
    </w:p>
    <w:p w14:paraId="20B7849E" w14:textId="77777777" w:rsidR="00CC4EB7" w:rsidRDefault="00CC4EB7" w:rsidP="00CC4EB7">
      <w:pPr>
        <w:jc w:val="both"/>
        <w:rPr>
          <w:rFonts w:eastAsiaTheme="majorEastAsia" w:cstheme="majorBidi"/>
        </w:rPr>
      </w:pPr>
    </w:p>
    <w:p w14:paraId="472BE237" w14:textId="77777777" w:rsidR="00CC4EB7" w:rsidRDefault="00CC4EB7" w:rsidP="00CC4EB7">
      <w:pPr>
        <w:jc w:val="both"/>
        <w:rPr>
          <w:rFonts w:eastAsiaTheme="majorEastAsia" w:cstheme="majorBidi"/>
        </w:rPr>
      </w:pPr>
    </w:p>
    <w:p w14:paraId="1EC87C88" w14:textId="77777777" w:rsidR="00CC4EB7" w:rsidRPr="00CC4EB7" w:rsidRDefault="00CC4EB7" w:rsidP="00CC4EB7">
      <w:pPr>
        <w:jc w:val="both"/>
        <w:rPr>
          <w:rFonts w:eastAsiaTheme="majorEastAsia" w:cstheme="majorBidi"/>
        </w:rPr>
      </w:pPr>
    </w:p>
    <w:p w14:paraId="4632569D" w14:textId="49DCB55D" w:rsidR="4608316C" w:rsidRPr="00CC4EB7" w:rsidRDefault="4608316C" w:rsidP="00CC4EB7">
      <w:pPr>
        <w:rPr>
          <w:b/>
          <w:bCs/>
          <w:sz w:val="24"/>
        </w:rPr>
      </w:pPr>
      <w:r w:rsidRPr="00CC4EB7">
        <w:rPr>
          <w:b/>
          <w:bCs/>
          <w:sz w:val="24"/>
        </w:rPr>
        <w:lastRenderedPageBreak/>
        <w:t>Mid Review</w:t>
      </w:r>
    </w:p>
    <w:p w14:paraId="6D540B90" w14:textId="4F571373" w:rsidR="4608316C" w:rsidRPr="00541F7E" w:rsidRDefault="4608316C" w:rsidP="001019DA">
      <w:pPr>
        <w:pStyle w:val="ListParagraph"/>
        <w:numPr>
          <w:ilvl w:val="0"/>
          <w:numId w:val="31"/>
        </w:numPr>
        <w:jc w:val="both"/>
        <w:rPr>
          <w:rFonts w:ascii="Century Gothic" w:eastAsiaTheme="majorEastAsia" w:hAnsi="Century Gothic" w:cstheme="majorBidi"/>
        </w:rPr>
      </w:pPr>
      <w:r w:rsidRPr="00541F7E">
        <w:rPr>
          <w:rFonts w:ascii="Century Gothic" w:hAnsi="Century Gothic"/>
        </w:rPr>
        <w:t xml:space="preserve">The Mid-Review is conducted by the </w:t>
      </w:r>
      <w:r w:rsidR="00783161">
        <w:rPr>
          <w:rFonts w:ascii="Century Gothic" w:hAnsi="Century Gothic"/>
        </w:rPr>
        <w:t>WPC</w:t>
      </w:r>
      <w:r w:rsidRPr="00541F7E">
        <w:rPr>
          <w:rFonts w:ascii="Century Gothic" w:hAnsi="Century Gothic"/>
        </w:rPr>
        <w:t xml:space="preserve"> at approximately week six of the internship placement. This review is </w:t>
      </w:r>
      <w:r w:rsidR="005F4675">
        <w:rPr>
          <w:rFonts w:ascii="Century Gothic" w:hAnsi="Century Gothic"/>
        </w:rPr>
        <w:t>conducted on Teams or Zoom</w:t>
      </w:r>
      <w:r w:rsidRPr="00541F7E">
        <w:rPr>
          <w:rFonts w:ascii="Century Gothic" w:hAnsi="Century Gothic"/>
        </w:rPr>
        <w:t>. Separate interviews will be conducted with the intern and the Host Company separately to monitor and capture genuine feedback relating to the intern’s progress against the training plan.</w:t>
      </w:r>
    </w:p>
    <w:p w14:paraId="10D6B4A0" w14:textId="0E6A310E" w:rsidR="4608316C" w:rsidRPr="00541F7E" w:rsidRDefault="4608316C" w:rsidP="001019DA">
      <w:pPr>
        <w:pStyle w:val="ListParagraph"/>
        <w:numPr>
          <w:ilvl w:val="0"/>
          <w:numId w:val="31"/>
        </w:numPr>
        <w:jc w:val="both"/>
        <w:rPr>
          <w:rFonts w:ascii="Century Gothic" w:eastAsiaTheme="majorEastAsia" w:hAnsi="Century Gothic" w:cstheme="majorBidi"/>
        </w:rPr>
      </w:pPr>
      <w:r w:rsidRPr="00541F7E">
        <w:rPr>
          <w:rFonts w:ascii="Century Gothic" w:hAnsi="Century Gothic"/>
        </w:rPr>
        <w:t xml:space="preserve">An </w:t>
      </w:r>
      <w:r w:rsidR="00783161">
        <w:rPr>
          <w:rFonts w:ascii="Century Gothic" w:hAnsi="Century Gothic"/>
        </w:rPr>
        <w:t>WPC</w:t>
      </w:r>
      <w:r w:rsidRPr="00541F7E">
        <w:rPr>
          <w:rFonts w:ascii="Century Gothic" w:hAnsi="Century Gothic"/>
        </w:rPr>
        <w:t xml:space="preserve"> must </w:t>
      </w:r>
      <w:r w:rsidR="005F4675">
        <w:rPr>
          <w:rFonts w:ascii="Century Gothic" w:hAnsi="Century Gothic"/>
        </w:rPr>
        <w:t xml:space="preserve">meet with </w:t>
      </w:r>
      <w:r w:rsidRPr="00541F7E">
        <w:rPr>
          <w:rFonts w:ascii="Century Gothic" w:hAnsi="Century Gothic"/>
        </w:rPr>
        <w:t>each intern at their host organisation at least once during the course of their internship.</w:t>
      </w:r>
    </w:p>
    <w:p w14:paraId="6B673458" w14:textId="746E98F3" w:rsidR="4608316C" w:rsidRPr="00541F7E" w:rsidRDefault="4608316C" w:rsidP="001019DA">
      <w:pPr>
        <w:pStyle w:val="ListParagraph"/>
        <w:numPr>
          <w:ilvl w:val="0"/>
          <w:numId w:val="31"/>
        </w:numPr>
        <w:jc w:val="both"/>
        <w:rPr>
          <w:rFonts w:ascii="Century Gothic" w:eastAsiaTheme="majorEastAsia" w:hAnsi="Century Gothic" w:cstheme="majorBidi"/>
        </w:rPr>
      </w:pPr>
      <w:r w:rsidRPr="00541F7E">
        <w:rPr>
          <w:rFonts w:ascii="Century Gothic" w:hAnsi="Century Gothic"/>
        </w:rPr>
        <w:t>Internships in remote areas are the only exception to the above rule. For remote (e.g. mining or construction projects) a video teleconference interview should be conducted with both the Supervisor and Intern. If video teleconference is unavailable, a telephone interview will suffice.</w:t>
      </w:r>
    </w:p>
    <w:p w14:paraId="23B8A473" w14:textId="69E15939" w:rsidR="4608316C" w:rsidRPr="00541F7E" w:rsidRDefault="4608316C" w:rsidP="001019DA">
      <w:pPr>
        <w:pStyle w:val="ListParagraph"/>
        <w:numPr>
          <w:ilvl w:val="0"/>
          <w:numId w:val="31"/>
        </w:numPr>
        <w:jc w:val="both"/>
        <w:rPr>
          <w:rFonts w:ascii="Century Gothic" w:eastAsiaTheme="majorEastAsia" w:hAnsi="Century Gothic" w:cstheme="majorBidi"/>
        </w:rPr>
      </w:pPr>
      <w:r w:rsidRPr="00541F7E">
        <w:rPr>
          <w:rFonts w:ascii="Century Gothic" w:hAnsi="Century Gothic"/>
        </w:rPr>
        <w:t xml:space="preserve">Mid Review Reports should be detailed and include comments from both the Supervisor and the Intern in the respective sections of the report. </w:t>
      </w:r>
    </w:p>
    <w:p w14:paraId="2860A167" w14:textId="246ED89A" w:rsidR="4608316C" w:rsidRPr="00541F7E" w:rsidRDefault="4608316C" w:rsidP="001019DA">
      <w:pPr>
        <w:pStyle w:val="ListParagraph"/>
        <w:numPr>
          <w:ilvl w:val="0"/>
          <w:numId w:val="31"/>
        </w:numPr>
        <w:jc w:val="both"/>
        <w:rPr>
          <w:rFonts w:eastAsiaTheme="majorEastAsia" w:cstheme="majorBidi"/>
        </w:rPr>
      </w:pPr>
      <w:r w:rsidRPr="00541F7E">
        <w:rPr>
          <w:rFonts w:ascii="Century Gothic" w:hAnsi="Century Gothic"/>
        </w:rPr>
        <w:t xml:space="preserve">All Internship reports should be signed by the Supervisor and the Intern so that their authenticity can be established. </w:t>
      </w:r>
    </w:p>
    <w:p w14:paraId="4190CE84" w14:textId="67AC2DCE" w:rsidR="00541F7E" w:rsidRPr="00CC4EB7" w:rsidRDefault="4608316C" w:rsidP="00CC4EB7">
      <w:pPr>
        <w:rPr>
          <w:b/>
          <w:bCs/>
          <w:sz w:val="24"/>
        </w:rPr>
      </w:pPr>
      <w:r w:rsidRPr="00CC4EB7">
        <w:rPr>
          <w:b/>
          <w:bCs/>
          <w:sz w:val="24"/>
        </w:rPr>
        <w:t xml:space="preserve">Training Plan </w:t>
      </w:r>
    </w:p>
    <w:p w14:paraId="09E5DD05" w14:textId="0F40BC9F" w:rsidR="4608316C" w:rsidRPr="00541F7E" w:rsidRDefault="4608316C" w:rsidP="001019DA">
      <w:pPr>
        <w:jc w:val="both"/>
        <w:rPr>
          <w:rFonts w:eastAsiaTheme="majorEastAsia" w:cstheme="majorBidi"/>
          <w:sz w:val="22"/>
          <w:szCs w:val="22"/>
        </w:rPr>
      </w:pPr>
      <w:r w:rsidRPr="00541F7E">
        <w:rPr>
          <w:sz w:val="22"/>
          <w:szCs w:val="22"/>
        </w:rPr>
        <w:t>A copy of the plan should be provided to the Host Company at the commencement of the internship. This will ensure the Supervisor is aware of what behaviours to assess over the course of the internship.</w:t>
      </w:r>
    </w:p>
    <w:p w14:paraId="5D8E6E37" w14:textId="77777777" w:rsidR="00541F7E" w:rsidRDefault="00541F7E" w:rsidP="001019DA">
      <w:pPr>
        <w:jc w:val="both"/>
        <w:rPr>
          <w:sz w:val="22"/>
          <w:szCs w:val="22"/>
        </w:rPr>
      </w:pPr>
    </w:p>
    <w:p w14:paraId="2DFCC215" w14:textId="494E57E3" w:rsidR="4608316C" w:rsidRPr="00541F7E" w:rsidRDefault="4608316C" w:rsidP="001019DA">
      <w:pPr>
        <w:jc w:val="both"/>
        <w:rPr>
          <w:rFonts w:eastAsiaTheme="majorEastAsia" w:cstheme="majorBidi"/>
          <w:sz w:val="22"/>
          <w:szCs w:val="22"/>
        </w:rPr>
      </w:pPr>
      <w:r w:rsidRPr="00541F7E">
        <w:rPr>
          <w:sz w:val="22"/>
          <w:szCs w:val="22"/>
        </w:rPr>
        <w:t>Training Plans must also be signed by the Intern and the Host Company Supervisor. The Supervisors are welcome to make supplementary comments and or reports</w:t>
      </w:r>
    </w:p>
    <w:p w14:paraId="264AF281" w14:textId="77777777" w:rsidR="001E5074" w:rsidRDefault="001E5074" w:rsidP="001019DA">
      <w:pPr>
        <w:jc w:val="both"/>
        <w:rPr>
          <w:b/>
          <w:sz w:val="22"/>
          <w:szCs w:val="22"/>
          <w:lang w:val="en-AU"/>
        </w:rPr>
      </w:pPr>
    </w:p>
    <w:p w14:paraId="246BD7EF" w14:textId="1B36F468" w:rsidR="4608316C" w:rsidRPr="00CC4EB7" w:rsidRDefault="4608316C" w:rsidP="00CC4EB7">
      <w:pPr>
        <w:rPr>
          <w:b/>
          <w:bCs/>
          <w:sz w:val="24"/>
        </w:rPr>
      </w:pPr>
      <w:r w:rsidRPr="00CC4EB7">
        <w:rPr>
          <w:b/>
          <w:bCs/>
          <w:sz w:val="24"/>
          <w:lang w:val="en-AU"/>
        </w:rPr>
        <w:t>Internship Documentation – Participants</w:t>
      </w:r>
    </w:p>
    <w:p w14:paraId="00768651" w14:textId="0E29F025" w:rsidR="4608316C" w:rsidRPr="001E5074" w:rsidRDefault="4608316C" w:rsidP="001019DA">
      <w:pPr>
        <w:jc w:val="both"/>
        <w:rPr>
          <w:sz w:val="22"/>
          <w:szCs w:val="22"/>
        </w:rPr>
      </w:pPr>
      <w:r w:rsidRPr="001E5074">
        <w:rPr>
          <w:sz w:val="22"/>
          <w:szCs w:val="22"/>
        </w:rPr>
        <w:t xml:space="preserve">Engineering Education Australia </w:t>
      </w:r>
      <w:r w:rsidR="4BF8725C" w:rsidRPr="001E5074">
        <w:rPr>
          <w:sz w:val="22"/>
          <w:szCs w:val="22"/>
        </w:rPr>
        <w:t>(EEA)</w:t>
      </w:r>
    </w:p>
    <w:p w14:paraId="5ED80D11" w14:textId="77777777" w:rsidR="001E5074" w:rsidRDefault="001E5074" w:rsidP="001019DA">
      <w:pPr>
        <w:jc w:val="both"/>
        <w:rPr>
          <w:sz w:val="22"/>
          <w:szCs w:val="22"/>
        </w:rPr>
      </w:pPr>
    </w:p>
    <w:p w14:paraId="1B97E472" w14:textId="74759126" w:rsidR="4608316C" w:rsidRPr="001E5074" w:rsidRDefault="4608316C" w:rsidP="00E903E1">
      <w:pPr>
        <w:jc w:val="both"/>
        <w:rPr>
          <w:rFonts w:eastAsiaTheme="majorEastAsia" w:cstheme="majorBidi"/>
          <w:sz w:val="22"/>
          <w:szCs w:val="22"/>
        </w:rPr>
      </w:pPr>
      <w:r w:rsidRPr="001E5074">
        <w:rPr>
          <w:sz w:val="22"/>
          <w:szCs w:val="22"/>
        </w:rPr>
        <w:t>As a mandatory EEA requirement Engineering participants are to submit a Workplace Report and an Events Register to EEA directly.  The Events Register is a record of events attended by the participant whilst they are enrolled in the Professional Year.</w:t>
      </w:r>
      <w:r w:rsidRPr="001E5074">
        <w:rPr>
          <w:sz w:val="22"/>
          <w:szCs w:val="22"/>
        </w:rPr>
        <w:br/>
        <w:t xml:space="preserve">The </w:t>
      </w:r>
      <w:r w:rsidR="00783161">
        <w:rPr>
          <w:sz w:val="22"/>
          <w:szCs w:val="22"/>
        </w:rPr>
        <w:t>WPC</w:t>
      </w:r>
      <w:r w:rsidRPr="001E5074">
        <w:rPr>
          <w:sz w:val="22"/>
          <w:szCs w:val="22"/>
        </w:rPr>
        <w:t xml:space="preserve"> is not required to collect this EEA report.</w:t>
      </w:r>
    </w:p>
    <w:p w14:paraId="650B50CC" w14:textId="77777777" w:rsidR="001E5074" w:rsidRDefault="001E5074" w:rsidP="001019DA">
      <w:pPr>
        <w:jc w:val="both"/>
        <w:rPr>
          <w:sz w:val="22"/>
          <w:szCs w:val="22"/>
          <w:lang w:val="en-AU"/>
        </w:rPr>
      </w:pPr>
    </w:p>
    <w:p w14:paraId="7C1CDED2" w14:textId="126919B1" w:rsidR="4608316C" w:rsidRPr="00E57A0B" w:rsidRDefault="4608316C" w:rsidP="001019DA">
      <w:pPr>
        <w:pStyle w:val="Heading3"/>
        <w:jc w:val="both"/>
        <w:rPr>
          <w:rFonts w:ascii="Century Gothic" w:hAnsi="Century Gothic"/>
          <w:b/>
          <w:bCs/>
        </w:rPr>
      </w:pPr>
      <w:bookmarkStart w:id="48" w:name="_Toc209429110"/>
      <w:r w:rsidRPr="00E57A0B">
        <w:rPr>
          <w:rFonts w:ascii="Century Gothic" w:hAnsi="Century Gothic"/>
          <w:b/>
          <w:bCs/>
          <w:lang w:val="en-AU"/>
        </w:rPr>
        <w:t>Participant Conduct during Internship</w:t>
      </w:r>
      <w:bookmarkEnd w:id="48"/>
      <w:r w:rsidRPr="00E57A0B">
        <w:rPr>
          <w:rFonts w:ascii="Century Gothic" w:hAnsi="Century Gothic"/>
          <w:b/>
          <w:bCs/>
          <w:lang w:val="en-AU"/>
        </w:rPr>
        <w:t xml:space="preserve"> </w:t>
      </w:r>
    </w:p>
    <w:p w14:paraId="0684B0C4" w14:textId="129EBDC3" w:rsidR="4608316C" w:rsidRPr="001E5074" w:rsidRDefault="4608316C" w:rsidP="001019DA">
      <w:pPr>
        <w:jc w:val="both"/>
        <w:rPr>
          <w:rFonts w:eastAsia="Yu Mincho"/>
          <w:b/>
          <w:sz w:val="22"/>
          <w:szCs w:val="22"/>
        </w:rPr>
      </w:pPr>
      <w:r w:rsidRPr="001E5074">
        <w:rPr>
          <w:sz w:val="22"/>
          <w:szCs w:val="22"/>
        </w:rPr>
        <w:t>Participants will be treated the same as an employee within their Host Company, so will be required to act accordingly. Participants are expected to behave professionally throughout their placement. Professional behaviour includes:</w:t>
      </w:r>
    </w:p>
    <w:p w14:paraId="2ABAD288" w14:textId="5A45BC32" w:rsidR="4608316C" w:rsidRPr="001E5074" w:rsidRDefault="4608316C" w:rsidP="001019DA">
      <w:pPr>
        <w:pStyle w:val="ListParagraph"/>
        <w:numPr>
          <w:ilvl w:val="0"/>
          <w:numId w:val="32"/>
        </w:numPr>
        <w:jc w:val="both"/>
        <w:rPr>
          <w:rFonts w:ascii="Century Gothic" w:eastAsiaTheme="majorEastAsia" w:hAnsi="Century Gothic" w:cstheme="majorBidi"/>
          <w:lang w:val="en-US"/>
        </w:rPr>
      </w:pPr>
      <w:r w:rsidRPr="001E5074">
        <w:rPr>
          <w:rFonts w:ascii="Century Gothic" w:hAnsi="Century Gothic"/>
        </w:rPr>
        <w:t>speaking in English at an appropriate level in the workplace;</w:t>
      </w:r>
    </w:p>
    <w:p w14:paraId="676339CC" w14:textId="3C9A7DE6" w:rsidR="4608316C" w:rsidRPr="001E5074" w:rsidRDefault="4608316C" w:rsidP="001019DA">
      <w:pPr>
        <w:pStyle w:val="ListParagraph"/>
        <w:numPr>
          <w:ilvl w:val="0"/>
          <w:numId w:val="32"/>
        </w:numPr>
        <w:jc w:val="both"/>
        <w:rPr>
          <w:rFonts w:ascii="Century Gothic" w:eastAsiaTheme="majorEastAsia" w:hAnsi="Century Gothic" w:cstheme="majorBidi"/>
          <w:lang w:val="en-US"/>
        </w:rPr>
      </w:pPr>
      <w:r w:rsidRPr="001E5074">
        <w:rPr>
          <w:rFonts w:ascii="Century Gothic" w:hAnsi="Century Gothic"/>
        </w:rPr>
        <w:t>ensuring that they are punctual and dress suitably for the Host Company environment;</w:t>
      </w:r>
    </w:p>
    <w:p w14:paraId="4C3C5C5C" w14:textId="5920BC3F" w:rsidR="4608316C" w:rsidRPr="001E5074" w:rsidRDefault="4608316C" w:rsidP="001019DA">
      <w:pPr>
        <w:pStyle w:val="ListParagraph"/>
        <w:numPr>
          <w:ilvl w:val="0"/>
          <w:numId w:val="32"/>
        </w:numPr>
        <w:jc w:val="both"/>
        <w:rPr>
          <w:rFonts w:ascii="Century Gothic" w:eastAsiaTheme="majorEastAsia" w:hAnsi="Century Gothic" w:cstheme="majorBidi"/>
          <w:lang w:val="en-US"/>
        </w:rPr>
      </w:pPr>
      <w:r w:rsidRPr="001E5074">
        <w:rPr>
          <w:rFonts w:ascii="Century Gothic" w:hAnsi="Century Gothic"/>
        </w:rPr>
        <w:t>adhering to all Host Company policies such as IT, WHS and Codes of Conduct; and</w:t>
      </w:r>
    </w:p>
    <w:p w14:paraId="4E724E81" w14:textId="5EA26C91" w:rsidR="4608316C" w:rsidRPr="001E5074" w:rsidRDefault="4608316C" w:rsidP="001019DA">
      <w:pPr>
        <w:pStyle w:val="ListParagraph"/>
        <w:numPr>
          <w:ilvl w:val="0"/>
          <w:numId w:val="32"/>
        </w:numPr>
        <w:jc w:val="both"/>
        <w:rPr>
          <w:rFonts w:ascii="Century Gothic" w:hAnsi="Century Gothic"/>
        </w:rPr>
      </w:pPr>
      <w:r w:rsidRPr="001E5074">
        <w:rPr>
          <w:rFonts w:ascii="Century Gothic" w:hAnsi="Century Gothic"/>
        </w:rPr>
        <w:t>exhibiting behaviour as expected in the workplace i.e. treating colleagues and managers with respect, acting in a professional manner at all times etc.</w:t>
      </w:r>
    </w:p>
    <w:p w14:paraId="54FB7656" w14:textId="7B2F7484" w:rsidR="4608316C" w:rsidRPr="001E5074" w:rsidRDefault="4608316C" w:rsidP="001019DA">
      <w:pPr>
        <w:jc w:val="both"/>
        <w:rPr>
          <w:sz w:val="22"/>
          <w:szCs w:val="22"/>
        </w:rPr>
      </w:pPr>
      <w:r w:rsidRPr="001E5074">
        <w:rPr>
          <w:sz w:val="22"/>
          <w:szCs w:val="22"/>
        </w:rPr>
        <w:lastRenderedPageBreak/>
        <w:t>Any participant who displays unacceptable or disruptive behaviour during their internship may be asked to leave the internship or source their own suitable internship.</w:t>
      </w:r>
    </w:p>
    <w:p w14:paraId="2679AABF" w14:textId="77777777" w:rsidR="001E5074" w:rsidRDefault="001E5074" w:rsidP="001019DA">
      <w:pPr>
        <w:jc w:val="both"/>
        <w:rPr>
          <w:sz w:val="22"/>
          <w:szCs w:val="22"/>
        </w:rPr>
      </w:pPr>
    </w:p>
    <w:p w14:paraId="67328925" w14:textId="79E6CDFF" w:rsidR="4608316C" w:rsidRDefault="4608316C" w:rsidP="001019DA">
      <w:pPr>
        <w:jc w:val="both"/>
        <w:rPr>
          <w:sz w:val="22"/>
          <w:szCs w:val="22"/>
        </w:rPr>
      </w:pPr>
      <w:r w:rsidRPr="001E5074">
        <w:rPr>
          <w:sz w:val="22"/>
          <w:szCs w:val="22"/>
        </w:rPr>
        <w:t>The appropriate external authority will be informed where the alleged misconduct under investigation is considered to warrant intervention or action from an external agency</w:t>
      </w:r>
    </w:p>
    <w:p w14:paraId="1D3ADC28" w14:textId="77777777" w:rsidR="009E292F" w:rsidRDefault="009E292F" w:rsidP="001019DA">
      <w:pPr>
        <w:jc w:val="both"/>
        <w:rPr>
          <w:sz w:val="22"/>
          <w:szCs w:val="22"/>
        </w:rPr>
      </w:pPr>
    </w:p>
    <w:p w14:paraId="3EDA3827" w14:textId="489505D3" w:rsidR="4608316C" w:rsidRPr="00CC4EB7" w:rsidRDefault="4608316C" w:rsidP="00CC4EB7">
      <w:pPr>
        <w:rPr>
          <w:b/>
          <w:bCs/>
          <w:sz w:val="24"/>
        </w:rPr>
      </w:pPr>
      <w:r w:rsidRPr="00CC4EB7">
        <w:rPr>
          <w:b/>
          <w:bCs/>
          <w:sz w:val="24"/>
          <w:lang w:val="en-AU"/>
        </w:rPr>
        <w:t xml:space="preserve">Removal from internship – Host Company Request </w:t>
      </w:r>
    </w:p>
    <w:p w14:paraId="15E93C10" w14:textId="12F1F6AE" w:rsidR="4608316C" w:rsidRPr="001E5074" w:rsidRDefault="4608316C" w:rsidP="001019DA">
      <w:pPr>
        <w:jc w:val="both"/>
        <w:rPr>
          <w:sz w:val="22"/>
          <w:szCs w:val="22"/>
        </w:rPr>
      </w:pPr>
      <w:r w:rsidRPr="001E5074">
        <w:rPr>
          <w:sz w:val="22"/>
          <w:szCs w:val="22"/>
        </w:rPr>
        <w:t>Where a company asks an intern to leave, the request must be in writing and needs to include as much evidence (dates and specific incidents) as possible.</w:t>
      </w:r>
    </w:p>
    <w:p w14:paraId="3FF2887F" w14:textId="77777777" w:rsidR="001E5074" w:rsidRDefault="001E5074" w:rsidP="001019DA">
      <w:pPr>
        <w:jc w:val="both"/>
        <w:rPr>
          <w:sz w:val="22"/>
          <w:szCs w:val="22"/>
        </w:rPr>
      </w:pPr>
    </w:p>
    <w:p w14:paraId="432404BB" w14:textId="3FB9E0CC" w:rsidR="4608316C" w:rsidRPr="007E6029" w:rsidRDefault="4608316C" w:rsidP="001019DA">
      <w:pPr>
        <w:jc w:val="both"/>
        <w:rPr>
          <w:sz w:val="22"/>
          <w:szCs w:val="22"/>
        </w:rPr>
      </w:pPr>
      <w:r w:rsidRPr="001E5074">
        <w:rPr>
          <w:sz w:val="22"/>
          <w:szCs w:val="22"/>
        </w:rPr>
        <w:t xml:space="preserve">The </w:t>
      </w:r>
      <w:r w:rsidR="00783161">
        <w:rPr>
          <w:sz w:val="22"/>
          <w:szCs w:val="22"/>
        </w:rPr>
        <w:t>WPC</w:t>
      </w:r>
      <w:r w:rsidRPr="001E5074">
        <w:rPr>
          <w:sz w:val="22"/>
          <w:szCs w:val="22"/>
        </w:rPr>
        <w:t xml:space="preserve"> and </w:t>
      </w:r>
      <w:r w:rsidR="00725EE4" w:rsidRPr="007E6029">
        <w:rPr>
          <w:sz w:val="22"/>
          <w:szCs w:val="22"/>
        </w:rPr>
        <w:t>P</w:t>
      </w:r>
      <w:r w:rsidR="00582E68" w:rsidRPr="007E6029">
        <w:rPr>
          <w:sz w:val="22"/>
          <w:szCs w:val="22"/>
        </w:rPr>
        <w:t>rogram</w:t>
      </w:r>
      <w:r w:rsidR="00733C79" w:rsidRPr="007E6029">
        <w:rPr>
          <w:sz w:val="22"/>
          <w:szCs w:val="22"/>
        </w:rPr>
        <w:t xml:space="preserve"> </w:t>
      </w:r>
      <w:r w:rsidRPr="007E6029">
        <w:rPr>
          <w:sz w:val="22"/>
          <w:szCs w:val="22"/>
        </w:rPr>
        <w:t xml:space="preserve">Manager will assess the situation and advise the participant and Host Company on the recommended course of action. </w:t>
      </w:r>
    </w:p>
    <w:p w14:paraId="30F437E4" w14:textId="77777777" w:rsidR="001E5074" w:rsidRPr="007E6029" w:rsidRDefault="001E5074" w:rsidP="001019DA">
      <w:pPr>
        <w:jc w:val="both"/>
        <w:rPr>
          <w:sz w:val="22"/>
          <w:szCs w:val="22"/>
        </w:rPr>
      </w:pPr>
    </w:p>
    <w:p w14:paraId="224052CD" w14:textId="2AD10D33" w:rsidR="4608316C" w:rsidRPr="007E6029" w:rsidRDefault="4608316C" w:rsidP="001019DA">
      <w:pPr>
        <w:jc w:val="both"/>
        <w:rPr>
          <w:sz w:val="22"/>
          <w:szCs w:val="22"/>
        </w:rPr>
      </w:pPr>
      <w:r w:rsidRPr="007E6029">
        <w:rPr>
          <w:sz w:val="22"/>
          <w:szCs w:val="22"/>
        </w:rPr>
        <w:t>Where a participant’s behaviour is deemed unacceptable and unprofessional the participant will be notified in writing that they will be removed from the internship.</w:t>
      </w:r>
    </w:p>
    <w:p w14:paraId="2847CB7F" w14:textId="77777777" w:rsidR="001E5074" w:rsidRPr="007E6029" w:rsidRDefault="001E5074" w:rsidP="001019DA">
      <w:pPr>
        <w:jc w:val="both"/>
        <w:rPr>
          <w:sz w:val="22"/>
          <w:szCs w:val="22"/>
        </w:rPr>
      </w:pPr>
    </w:p>
    <w:p w14:paraId="298ED3A2" w14:textId="58F1D085" w:rsidR="4608316C" w:rsidRPr="001E5074" w:rsidRDefault="4608316C" w:rsidP="001019DA">
      <w:pPr>
        <w:jc w:val="both"/>
        <w:rPr>
          <w:sz w:val="22"/>
          <w:szCs w:val="22"/>
        </w:rPr>
      </w:pPr>
      <w:r w:rsidRPr="007E6029">
        <w:rPr>
          <w:sz w:val="22"/>
          <w:szCs w:val="22"/>
        </w:rPr>
        <w:t xml:space="preserve">Where the incident is not severe enough to justify completely removing the participant from the internship the </w:t>
      </w:r>
      <w:r w:rsidR="00725EE4" w:rsidRPr="007E6029">
        <w:rPr>
          <w:sz w:val="22"/>
          <w:szCs w:val="22"/>
        </w:rPr>
        <w:t>P</w:t>
      </w:r>
      <w:r w:rsidR="00582E68" w:rsidRPr="007E6029">
        <w:rPr>
          <w:sz w:val="22"/>
          <w:szCs w:val="22"/>
        </w:rPr>
        <w:t>rogram</w:t>
      </w:r>
      <w:r w:rsidR="00725EE4" w:rsidRPr="007E6029">
        <w:rPr>
          <w:sz w:val="22"/>
          <w:szCs w:val="22"/>
        </w:rPr>
        <w:t xml:space="preserve"> </w:t>
      </w:r>
      <w:r w:rsidRPr="007E6029">
        <w:rPr>
          <w:sz w:val="22"/>
          <w:szCs w:val="22"/>
        </w:rPr>
        <w:t>Manager will</w:t>
      </w:r>
      <w:r w:rsidRPr="001E5074">
        <w:rPr>
          <w:sz w:val="22"/>
          <w:szCs w:val="22"/>
        </w:rPr>
        <w:t xml:space="preserve"> decide whether or not they will be placed with another company and undertake the entire process again.</w:t>
      </w:r>
    </w:p>
    <w:p w14:paraId="43DFE0EF" w14:textId="77777777" w:rsidR="001E5074" w:rsidRDefault="001E5074" w:rsidP="001019DA">
      <w:pPr>
        <w:jc w:val="both"/>
        <w:rPr>
          <w:sz w:val="22"/>
          <w:szCs w:val="22"/>
        </w:rPr>
      </w:pPr>
    </w:p>
    <w:p w14:paraId="0BD98C81" w14:textId="2F900A17" w:rsidR="4608316C" w:rsidRPr="001E5074" w:rsidRDefault="4608316C" w:rsidP="001019DA">
      <w:pPr>
        <w:jc w:val="both"/>
        <w:rPr>
          <w:sz w:val="22"/>
          <w:szCs w:val="22"/>
        </w:rPr>
      </w:pPr>
      <w:r w:rsidRPr="001E5074">
        <w:rPr>
          <w:sz w:val="22"/>
          <w:szCs w:val="22"/>
        </w:rPr>
        <w:t>The appropriate external authority will be informed where the alleged misconduct under investigation is considered to warrant intervention or action from an external agency</w:t>
      </w:r>
    </w:p>
    <w:p w14:paraId="44AB3A64" w14:textId="77777777" w:rsidR="001E5074" w:rsidRDefault="001E5074" w:rsidP="001019DA">
      <w:pPr>
        <w:jc w:val="both"/>
        <w:rPr>
          <w:sz w:val="22"/>
          <w:szCs w:val="22"/>
          <w:lang w:val="en-AU"/>
        </w:rPr>
      </w:pPr>
    </w:p>
    <w:p w14:paraId="18884F78" w14:textId="0A56F2BF" w:rsidR="4608316C" w:rsidRPr="001E5074" w:rsidRDefault="4608316C" w:rsidP="001019DA">
      <w:pPr>
        <w:jc w:val="both"/>
        <w:rPr>
          <w:sz w:val="22"/>
          <w:szCs w:val="22"/>
        </w:rPr>
      </w:pPr>
      <w:r w:rsidRPr="001E5074">
        <w:rPr>
          <w:sz w:val="22"/>
          <w:szCs w:val="22"/>
          <w:lang w:val="en-AU"/>
        </w:rPr>
        <w:t>Removal from internship – Participant Request</w:t>
      </w:r>
    </w:p>
    <w:p w14:paraId="31D00192" w14:textId="49A65CCA" w:rsidR="009E2E89" w:rsidRPr="00CC4EB7" w:rsidRDefault="4608316C" w:rsidP="001019DA">
      <w:pPr>
        <w:jc w:val="both"/>
        <w:rPr>
          <w:sz w:val="22"/>
          <w:szCs w:val="22"/>
        </w:rPr>
      </w:pPr>
      <w:r w:rsidRPr="001E5074">
        <w:rPr>
          <w:sz w:val="22"/>
          <w:szCs w:val="22"/>
        </w:rPr>
        <w:t xml:space="preserve">If a participant requests removal from an internship placement this will be managed on a </w:t>
      </w:r>
      <w:r w:rsidR="1445ADB1" w:rsidRPr="001E5074">
        <w:rPr>
          <w:sz w:val="22"/>
          <w:szCs w:val="22"/>
        </w:rPr>
        <w:t>case-by-case</w:t>
      </w:r>
      <w:r w:rsidRPr="001E5074">
        <w:rPr>
          <w:sz w:val="22"/>
          <w:szCs w:val="22"/>
        </w:rPr>
        <w:t xml:space="preserve"> basis by the </w:t>
      </w:r>
      <w:r w:rsidR="00783161">
        <w:rPr>
          <w:sz w:val="22"/>
          <w:szCs w:val="22"/>
        </w:rPr>
        <w:t>WPC</w:t>
      </w:r>
      <w:r w:rsidRPr="001E5074">
        <w:rPr>
          <w:sz w:val="22"/>
          <w:szCs w:val="22"/>
        </w:rPr>
        <w:t>.</w:t>
      </w:r>
    </w:p>
    <w:p w14:paraId="4C8D610A" w14:textId="29A8F977" w:rsidR="00F814E9" w:rsidRPr="002E4DBD" w:rsidRDefault="005349F8" w:rsidP="00CC4EB7">
      <w:pPr>
        <w:pStyle w:val="Heading1"/>
        <w:numPr>
          <w:ilvl w:val="0"/>
          <w:numId w:val="11"/>
        </w:numPr>
        <w:rPr>
          <w:b/>
          <w:bCs/>
        </w:rPr>
      </w:pPr>
      <w:bookmarkStart w:id="49" w:name="_Toc191046633"/>
      <w:bookmarkStart w:id="50" w:name="_Toc209429111"/>
      <w:r w:rsidRPr="002E4DBD">
        <w:rPr>
          <w:b/>
          <w:bCs/>
        </w:rPr>
        <w:t xml:space="preserve">IMPLEMENTATION AND </w:t>
      </w:r>
      <w:r w:rsidR="00F814E9" w:rsidRPr="002E4DBD">
        <w:rPr>
          <w:b/>
          <w:bCs/>
        </w:rPr>
        <w:t>RESPONSIBILITY</w:t>
      </w:r>
      <w:bookmarkEnd w:id="49"/>
      <w:bookmarkEnd w:id="50"/>
    </w:p>
    <w:p w14:paraId="2A1E1988" w14:textId="77777777" w:rsidR="001E5074" w:rsidRDefault="001E5074" w:rsidP="001019DA">
      <w:pPr>
        <w:jc w:val="both"/>
        <w:rPr>
          <w:sz w:val="22"/>
          <w:szCs w:val="22"/>
          <w:lang w:val="en-AU"/>
        </w:rPr>
      </w:pPr>
    </w:p>
    <w:p w14:paraId="1CEDE503" w14:textId="7966283E" w:rsidR="255AA405" w:rsidRPr="001E5074" w:rsidRDefault="255AA405" w:rsidP="001019DA">
      <w:pPr>
        <w:jc w:val="both"/>
        <w:rPr>
          <w:rFonts w:eastAsia="Yu Gothic Light"/>
          <w:sz w:val="22"/>
          <w:szCs w:val="22"/>
        </w:rPr>
      </w:pPr>
      <w:r w:rsidRPr="001E5074">
        <w:rPr>
          <w:sz w:val="22"/>
          <w:szCs w:val="22"/>
          <w:lang w:val="en-AU"/>
        </w:rPr>
        <w:t xml:space="preserve">This document is reviewed every 2 years by the relevant manager to ensure alignment to appropriate strategic direction and its continued relevance to </w:t>
      </w:r>
      <w:r w:rsidR="00783161">
        <w:rPr>
          <w:sz w:val="22"/>
          <w:szCs w:val="22"/>
          <w:lang w:val="en-AU"/>
        </w:rPr>
        <w:t xml:space="preserve">AIBL’s </w:t>
      </w:r>
      <w:r w:rsidRPr="001E5074">
        <w:rPr>
          <w:sz w:val="22"/>
          <w:szCs w:val="22"/>
          <w:lang w:val="en-AU"/>
        </w:rPr>
        <w:t>current and planned operations.</w:t>
      </w:r>
    </w:p>
    <w:p w14:paraId="6C471D75" w14:textId="6A7FD293" w:rsidR="122622FD" w:rsidRPr="009E2E89" w:rsidRDefault="122622FD" w:rsidP="001019DA">
      <w:pPr>
        <w:spacing w:after="60"/>
        <w:jc w:val="both"/>
        <w:rPr>
          <w:rFonts w:eastAsia="Yu Mincho"/>
          <w:szCs w:val="18"/>
        </w:rPr>
      </w:pPr>
    </w:p>
    <w:p w14:paraId="3F8FA622" w14:textId="60186554" w:rsidR="4F02A861" w:rsidRPr="007E6029" w:rsidRDefault="4F02A861" w:rsidP="001019DA">
      <w:pPr>
        <w:pStyle w:val="ListParagraph"/>
        <w:numPr>
          <w:ilvl w:val="0"/>
          <w:numId w:val="5"/>
        </w:numPr>
        <w:spacing w:after="60" w:line="240" w:lineRule="auto"/>
        <w:ind w:left="567" w:hanging="567"/>
        <w:jc w:val="both"/>
        <w:rPr>
          <w:rFonts w:ascii="Century Gothic" w:eastAsiaTheme="majorEastAsia" w:hAnsi="Century Gothic" w:cstheme="majorBidi"/>
        </w:rPr>
      </w:pPr>
      <w:r w:rsidRPr="009E2E89">
        <w:rPr>
          <w:rFonts w:ascii="Century Gothic" w:eastAsiaTheme="minorEastAsia" w:hAnsi="Century Gothic" w:cstheme="minorBidi"/>
        </w:rPr>
        <w:t xml:space="preserve">The </w:t>
      </w:r>
      <w:r w:rsidR="00582E68" w:rsidRPr="007E6029">
        <w:rPr>
          <w:rFonts w:ascii="Century Gothic" w:eastAsiaTheme="minorEastAsia" w:hAnsi="Century Gothic" w:cstheme="minorBidi"/>
        </w:rPr>
        <w:t xml:space="preserve">Director of Academic and Business Development </w:t>
      </w:r>
      <w:r w:rsidRPr="007E6029">
        <w:rPr>
          <w:rFonts w:ascii="Century Gothic" w:eastAsiaTheme="minorEastAsia" w:hAnsi="Century Gothic" w:cstheme="minorBidi"/>
        </w:rPr>
        <w:t>is accountable for the ongoing development, approval, implementation, awareness and effectiveness of this Policy and the supporting processes and documentation.</w:t>
      </w:r>
    </w:p>
    <w:p w14:paraId="6723C208" w14:textId="01D1E19F" w:rsidR="4F02A861" w:rsidRPr="007E6029" w:rsidRDefault="4F02A861" w:rsidP="001019DA">
      <w:pPr>
        <w:pStyle w:val="ListParagraph"/>
        <w:numPr>
          <w:ilvl w:val="0"/>
          <w:numId w:val="5"/>
        </w:numPr>
        <w:spacing w:after="60" w:line="240" w:lineRule="auto"/>
        <w:ind w:left="567" w:hanging="567"/>
        <w:jc w:val="both"/>
        <w:rPr>
          <w:rFonts w:ascii="Century Gothic" w:eastAsiaTheme="majorEastAsia" w:hAnsi="Century Gothic" w:cstheme="majorBidi"/>
          <w:lang w:val="en-US"/>
        </w:rPr>
      </w:pPr>
      <w:r w:rsidRPr="007E6029">
        <w:rPr>
          <w:rFonts w:ascii="Century Gothic" w:eastAsiaTheme="minorEastAsia" w:hAnsi="Century Gothic" w:cstheme="minorBidi"/>
        </w:rPr>
        <w:t xml:space="preserve">The </w:t>
      </w:r>
      <w:r w:rsidR="00783161" w:rsidRPr="007E6029">
        <w:rPr>
          <w:rFonts w:ascii="Century Gothic" w:eastAsiaTheme="minorEastAsia" w:hAnsi="Century Gothic" w:cstheme="minorBidi"/>
        </w:rPr>
        <w:t>PY Management Team</w:t>
      </w:r>
      <w:r w:rsidRPr="007E6029">
        <w:rPr>
          <w:rFonts w:ascii="Century Gothic" w:eastAsiaTheme="minorEastAsia" w:hAnsi="Century Gothic" w:cstheme="minorBidi"/>
        </w:rPr>
        <w:t xml:space="preserve"> are responsible for ensuring that all team members are aware of this Policy and their responsibilities defined herein.</w:t>
      </w:r>
    </w:p>
    <w:p w14:paraId="675DDCCC" w14:textId="460DAE87" w:rsidR="122622FD" w:rsidRPr="00CC4EB7" w:rsidRDefault="4EBD3057" w:rsidP="001019DA">
      <w:pPr>
        <w:pStyle w:val="ListParagraph"/>
        <w:numPr>
          <w:ilvl w:val="0"/>
          <w:numId w:val="5"/>
        </w:numPr>
        <w:spacing w:after="60" w:line="240" w:lineRule="auto"/>
        <w:ind w:left="567" w:hanging="567"/>
        <w:jc w:val="both"/>
        <w:rPr>
          <w:rFonts w:ascii="Century Gothic" w:eastAsiaTheme="majorEastAsia" w:hAnsi="Century Gothic" w:cstheme="majorBidi"/>
          <w:b/>
          <w:bCs/>
          <w:lang w:val="en-US"/>
        </w:rPr>
      </w:pPr>
      <w:r w:rsidRPr="009E2E89">
        <w:rPr>
          <w:rFonts w:ascii="Century Gothic" w:eastAsiaTheme="minorEastAsia" w:hAnsi="Century Gothic" w:cstheme="minorBidi"/>
        </w:rPr>
        <w:t xml:space="preserve">Albright Institute of Business and Language </w:t>
      </w:r>
      <w:r w:rsidR="4F02A861" w:rsidRPr="009E2E89">
        <w:rPr>
          <w:rFonts w:ascii="Century Gothic" w:eastAsiaTheme="minorEastAsia" w:hAnsi="Century Gothic" w:cstheme="minorBidi"/>
        </w:rPr>
        <w:t xml:space="preserve">employees are responsible for being aware </w:t>
      </w:r>
      <w:r w:rsidR="00CC4EB7" w:rsidRPr="009E2E89">
        <w:rPr>
          <w:rFonts w:ascii="Century Gothic" w:eastAsiaTheme="minorEastAsia" w:hAnsi="Century Gothic" w:cstheme="minorBidi"/>
        </w:rPr>
        <w:t>of and</w:t>
      </w:r>
      <w:r w:rsidR="4F02A861" w:rsidRPr="009E2E89">
        <w:rPr>
          <w:rFonts w:ascii="Century Gothic" w:eastAsiaTheme="minorEastAsia" w:hAnsi="Century Gothic" w:cstheme="minorBidi"/>
        </w:rPr>
        <w:t xml:space="preserve"> complying with this Policy.</w:t>
      </w:r>
    </w:p>
    <w:p w14:paraId="36A3A2FF" w14:textId="18C403C0" w:rsidR="00AE6911" w:rsidRPr="002E4DBD" w:rsidRDefault="00F814E9" w:rsidP="00CC4EB7">
      <w:pPr>
        <w:pStyle w:val="Heading1"/>
        <w:numPr>
          <w:ilvl w:val="0"/>
          <w:numId w:val="11"/>
        </w:numPr>
        <w:rPr>
          <w:b/>
          <w:bCs/>
        </w:rPr>
      </w:pPr>
      <w:bookmarkStart w:id="51" w:name="_Toc191046634"/>
      <w:bookmarkStart w:id="52" w:name="_Toc209429112"/>
      <w:r w:rsidRPr="002E4DBD">
        <w:rPr>
          <w:b/>
          <w:bCs/>
        </w:rPr>
        <w:t>RELATED DOCUMENTS</w:t>
      </w:r>
      <w:bookmarkEnd w:id="51"/>
      <w:bookmarkEnd w:id="52"/>
    </w:p>
    <w:p w14:paraId="54E11D2A" w14:textId="77777777" w:rsidR="0032364E" w:rsidRPr="006F6C96" w:rsidRDefault="0032364E" w:rsidP="001019DA">
      <w:pPr>
        <w:jc w:val="both"/>
        <w:rPr>
          <w:rFonts w:cs="Arial"/>
          <w:sz w:val="22"/>
          <w:szCs w:val="22"/>
        </w:rPr>
      </w:pPr>
    </w:p>
    <w:tbl>
      <w:tblPr>
        <w:tblStyle w:val="TableGrid2"/>
        <w:tblW w:w="4900" w:type="pct"/>
        <w:tblLook w:val="04A0" w:firstRow="1" w:lastRow="0" w:firstColumn="1" w:lastColumn="0" w:noHBand="0" w:noVBand="1"/>
      </w:tblPr>
      <w:tblGrid>
        <w:gridCol w:w="9576"/>
      </w:tblGrid>
      <w:tr w:rsidR="008D3465" w:rsidRPr="009E2E89" w14:paraId="706AE58B" w14:textId="77777777" w:rsidTr="00F36A80">
        <w:trPr>
          <w:trHeight w:val="470"/>
        </w:trPr>
        <w:tc>
          <w:tcPr>
            <w:tcW w:w="5000" w:type="pct"/>
            <w:tcBorders>
              <w:top w:val="single" w:sz="4" w:space="0" w:color="auto"/>
              <w:left w:val="single" w:sz="4" w:space="0" w:color="auto"/>
              <w:bottom w:val="single" w:sz="4" w:space="0" w:color="auto"/>
              <w:right w:val="single" w:sz="4" w:space="0" w:color="auto"/>
            </w:tcBorders>
            <w:shd w:val="clear" w:color="auto" w:fill="2E74B5" w:themeFill="accent5" w:themeFillShade="BF"/>
            <w:hideMark/>
          </w:tcPr>
          <w:p w14:paraId="7FDA0C28" w14:textId="77777777" w:rsidR="008D3465" w:rsidRPr="009E2E89" w:rsidRDefault="008D3465" w:rsidP="001019DA">
            <w:pPr>
              <w:spacing w:before="120" w:after="120"/>
              <w:jc w:val="both"/>
              <w:rPr>
                <w:rFonts w:cs="Arial"/>
                <w:b/>
                <w:bCs/>
                <w:sz w:val="24"/>
                <w:szCs w:val="24"/>
              </w:rPr>
            </w:pPr>
            <w:r w:rsidRPr="009E2E89">
              <w:rPr>
                <w:rFonts w:cs="Arial"/>
                <w:b/>
                <w:bCs/>
                <w:color w:val="FFFFFF" w:themeColor="background1"/>
                <w:sz w:val="22"/>
                <w:szCs w:val="22"/>
              </w:rPr>
              <w:t>Related Documents</w:t>
            </w:r>
          </w:p>
        </w:tc>
      </w:tr>
      <w:tr w:rsidR="008D3465" w:rsidRPr="009E2E89" w14:paraId="7BFCB7F5" w14:textId="77777777" w:rsidTr="00F36A80">
        <w:trPr>
          <w:trHeight w:val="1121"/>
        </w:trPr>
        <w:tc>
          <w:tcPr>
            <w:tcW w:w="5000" w:type="pct"/>
            <w:tcBorders>
              <w:top w:val="single" w:sz="4" w:space="0" w:color="auto"/>
              <w:left w:val="single" w:sz="4" w:space="0" w:color="auto"/>
              <w:bottom w:val="single" w:sz="4" w:space="0" w:color="auto"/>
              <w:right w:val="single" w:sz="4" w:space="0" w:color="auto"/>
            </w:tcBorders>
            <w:hideMark/>
          </w:tcPr>
          <w:p w14:paraId="412A21A2" w14:textId="539996BC" w:rsidR="00696FC5" w:rsidRPr="009E2E89" w:rsidRDefault="00783161" w:rsidP="001019DA">
            <w:pPr>
              <w:pStyle w:val="ListParagraph"/>
              <w:numPr>
                <w:ilvl w:val="0"/>
                <w:numId w:val="25"/>
              </w:numPr>
              <w:spacing w:before="120" w:after="120"/>
              <w:contextualSpacing/>
              <w:jc w:val="both"/>
              <w:rPr>
                <w:rFonts w:ascii="Century Gothic" w:eastAsiaTheme="minorEastAsia" w:hAnsi="Century Gothic" w:cstheme="minorBidi"/>
                <w:color w:val="000000" w:themeColor="text1"/>
                <w:sz w:val="18"/>
                <w:szCs w:val="18"/>
              </w:rPr>
            </w:pPr>
            <w:r>
              <w:rPr>
                <w:rFonts w:ascii="Century Gothic" w:eastAsia="Verdana" w:hAnsi="Century Gothic" w:cs="Verdana"/>
                <w:color w:val="000000" w:themeColor="text1"/>
                <w:sz w:val="18"/>
                <w:szCs w:val="18"/>
              </w:rPr>
              <w:t>WPC</w:t>
            </w:r>
            <w:r w:rsidR="78641BF7" w:rsidRPr="009E2E89">
              <w:rPr>
                <w:rFonts w:ascii="Century Gothic" w:eastAsia="Verdana" w:hAnsi="Century Gothic" w:cs="Verdana"/>
                <w:color w:val="000000" w:themeColor="text1"/>
                <w:sz w:val="18"/>
                <w:szCs w:val="18"/>
              </w:rPr>
              <w:t xml:space="preserve"> Induction Manual</w:t>
            </w:r>
          </w:p>
          <w:p w14:paraId="24C904ED" w14:textId="22AAFF88" w:rsidR="00696FC5" w:rsidRPr="009E2E89" w:rsidRDefault="78641BF7" w:rsidP="001019DA">
            <w:pPr>
              <w:pStyle w:val="ListParagraph"/>
              <w:numPr>
                <w:ilvl w:val="0"/>
                <w:numId w:val="25"/>
              </w:numPr>
              <w:spacing w:after="120" w:line="240" w:lineRule="auto"/>
              <w:contextualSpacing/>
              <w:jc w:val="both"/>
              <w:rPr>
                <w:rFonts w:ascii="Century Gothic" w:eastAsiaTheme="minorEastAsia" w:hAnsi="Century Gothic" w:cstheme="minorBidi"/>
                <w:color w:val="000000" w:themeColor="text1"/>
                <w:sz w:val="18"/>
                <w:szCs w:val="18"/>
              </w:rPr>
            </w:pPr>
            <w:r w:rsidRPr="009E2E89">
              <w:rPr>
                <w:rFonts w:ascii="Century Gothic" w:eastAsia="Verdana" w:hAnsi="Century Gothic" w:cs="Verdana"/>
                <w:color w:val="000000" w:themeColor="text1"/>
                <w:sz w:val="18"/>
                <w:szCs w:val="18"/>
              </w:rPr>
              <w:t>Participant’s Handbook</w:t>
            </w:r>
          </w:p>
          <w:p w14:paraId="68EBC97C" w14:textId="567DFFC8" w:rsidR="00696FC5" w:rsidRPr="009E2E89" w:rsidRDefault="78641BF7" w:rsidP="001019DA">
            <w:pPr>
              <w:pStyle w:val="ListParagraph"/>
              <w:numPr>
                <w:ilvl w:val="0"/>
                <w:numId w:val="25"/>
              </w:numPr>
              <w:spacing w:after="120" w:line="240" w:lineRule="auto"/>
              <w:contextualSpacing/>
              <w:jc w:val="both"/>
              <w:rPr>
                <w:rFonts w:ascii="Century Gothic" w:eastAsiaTheme="minorEastAsia" w:hAnsi="Century Gothic" w:cstheme="minorBidi"/>
                <w:color w:val="000000" w:themeColor="text1"/>
              </w:rPr>
            </w:pPr>
            <w:r w:rsidRPr="009E2E89">
              <w:rPr>
                <w:rFonts w:ascii="Century Gothic" w:eastAsia="Verdana" w:hAnsi="Century Gothic" w:cs="Verdana"/>
                <w:color w:val="000000" w:themeColor="text1"/>
                <w:sz w:val="18"/>
                <w:szCs w:val="18"/>
              </w:rPr>
              <w:t xml:space="preserve">Engineering Education Australia (EEA) Professional Year </w:t>
            </w:r>
            <w:r w:rsidR="2E0FA2F0" w:rsidRPr="009E2E89">
              <w:rPr>
                <w:rFonts w:ascii="Century Gothic" w:eastAsia="Verdana" w:hAnsi="Century Gothic" w:cs="Verdana"/>
                <w:color w:val="000000" w:themeColor="text1"/>
                <w:sz w:val="18"/>
                <w:szCs w:val="18"/>
              </w:rPr>
              <w:t>P</w:t>
            </w:r>
            <w:r w:rsidR="37463E37" w:rsidRPr="009E2E89">
              <w:rPr>
                <w:rFonts w:ascii="Century Gothic" w:eastAsia="Verdana" w:hAnsi="Century Gothic" w:cs="Verdana"/>
                <w:color w:val="000000" w:themeColor="text1"/>
                <w:sz w:val="18"/>
                <w:szCs w:val="18"/>
              </w:rPr>
              <w:t>a</w:t>
            </w:r>
            <w:r w:rsidR="2E0FA2F0" w:rsidRPr="009E2E89">
              <w:rPr>
                <w:rFonts w:ascii="Century Gothic" w:eastAsia="Verdana" w:hAnsi="Century Gothic" w:cs="Verdana"/>
                <w:color w:val="000000" w:themeColor="text1"/>
                <w:sz w:val="18"/>
                <w:szCs w:val="18"/>
              </w:rPr>
              <w:t>rtner</w:t>
            </w:r>
            <w:r w:rsidRPr="009E2E89">
              <w:rPr>
                <w:rFonts w:ascii="Century Gothic" w:eastAsia="Verdana" w:hAnsi="Century Gothic" w:cs="Verdana"/>
                <w:color w:val="000000" w:themeColor="text1"/>
                <w:sz w:val="18"/>
                <w:szCs w:val="18"/>
              </w:rPr>
              <w:t xml:space="preserve"> Guidelines </w:t>
            </w:r>
          </w:p>
          <w:p w14:paraId="31126E5D" w14:textId="786D6678" w:rsidR="00696FC5" w:rsidRPr="009E2E89" w:rsidRDefault="78641BF7" w:rsidP="001019DA">
            <w:pPr>
              <w:pStyle w:val="ListParagraph"/>
              <w:numPr>
                <w:ilvl w:val="0"/>
                <w:numId w:val="25"/>
              </w:numPr>
              <w:spacing w:after="120" w:line="240" w:lineRule="auto"/>
              <w:contextualSpacing/>
              <w:jc w:val="both"/>
              <w:rPr>
                <w:rFonts w:ascii="Century Gothic" w:hAnsi="Century Gothic"/>
                <w:color w:val="000000" w:themeColor="text1"/>
              </w:rPr>
            </w:pPr>
            <w:r w:rsidRPr="009E2E89">
              <w:rPr>
                <w:rFonts w:ascii="Century Gothic" w:eastAsia="Verdana" w:hAnsi="Century Gothic" w:cs="Verdana"/>
                <w:color w:val="000000" w:themeColor="text1"/>
                <w:sz w:val="18"/>
                <w:szCs w:val="18"/>
              </w:rPr>
              <w:t>Complaints and Appeals Policy</w:t>
            </w:r>
          </w:p>
        </w:tc>
      </w:tr>
    </w:tbl>
    <w:p w14:paraId="7986A54B" w14:textId="77777777" w:rsidR="008F30E9" w:rsidRDefault="008F30E9" w:rsidP="008F30E9"/>
    <w:p w14:paraId="78B3CCD5" w14:textId="77777777" w:rsidR="008F30E9" w:rsidRDefault="008F30E9" w:rsidP="008F30E9"/>
    <w:p w14:paraId="5B90D749" w14:textId="5E9FFCF6" w:rsidR="008F30E9" w:rsidRPr="008F30E9" w:rsidRDefault="008F30E9" w:rsidP="008F30E9">
      <w:pPr>
        <w:tabs>
          <w:tab w:val="left" w:pos="1200"/>
        </w:tabs>
      </w:pPr>
      <w:r>
        <w:tab/>
      </w:r>
    </w:p>
    <w:sectPr w:rsidR="008F30E9" w:rsidRPr="008F30E9" w:rsidSect="0035417F">
      <w:headerReference w:type="default" r:id="rId14"/>
      <w:footerReference w:type="default" r:id="rId15"/>
      <w:headerReference w:type="first" r:id="rId16"/>
      <w:footerReference w:type="first" r:id="rId17"/>
      <w:type w:val="continuous"/>
      <w:pgSz w:w="11900" w:h="16840" w:code="9"/>
      <w:pgMar w:top="1550" w:right="843" w:bottom="1151" w:left="1276" w:header="567" w:footer="2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E706E" w14:textId="77777777" w:rsidR="00E6579A" w:rsidRDefault="00E6579A" w:rsidP="00992CAB">
      <w:r>
        <w:separator/>
      </w:r>
    </w:p>
  </w:endnote>
  <w:endnote w:type="continuationSeparator" w:id="0">
    <w:p w14:paraId="4560E2F6" w14:textId="77777777" w:rsidR="00E6579A" w:rsidRDefault="00E6579A" w:rsidP="0099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rinda">
    <w:panose1 w:val="00000400000000000000"/>
    <w:charset w:val="00"/>
    <w:family w:val="swiss"/>
    <w:pitch w:val="variable"/>
    <w:sig w:usb0="00010003" w:usb1="00000000" w:usb2="00000000" w:usb3="00000000" w:csb0="00000001" w:csb1="00000000"/>
  </w:font>
  <w:font w:name="Yu Mincho">
    <w:charset w:val="80"/>
    <w:family w:val="roman"/>
    <w:pitch w:val="variable"/>
    <w:sig w:usb0="800002E7" w:usb1="2AC7FCFF" w:usb2="00000012" w:usb3="00000000" w:csb0="0002009F" w:csb1="00000000"/>
  </w:font>
  <w:font w:name="Nexa Bold">
    <w:altName w:val="Calibri"/>
    <w:charset w:val="00"/>
    <w:family w:val="modern"/>
    <w:pitch w:val="default"/>
    <w:sig w:usb0="00000000"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Book Antiqua">
    <w:panose1 w:val="02040602050305030304"/>
    <w:charset w:val="00"/>
    <w:family w:val="roman"/>
    <w:pitch w:val="variable"/>
    <w:sig w:usb0="00000287" w:usb1="00000000" w:usb2="00000000" w:usb3="00000000" w:csb0="0000009F" w:csb1="00000000"/>
  </w:font>
  <w:font w:name="Palatino">
    <w:charset w:val="4D"/>
    <w:family w:val="auto"/>
    <w:pitch w:val="variable"/>
    <w:sig w:usb0="A00002FF" w:usb1="7800205A" w:usb2="14600000" w:usb3="00000000" w:csb0="00000193" w:csb1="00000000"/>
  </w:font>
  <w:font w:name="Gotham Black">
    <w:altName w:val="Times New Roman"/>
    <w:panose1 w:val="00000000000000000000"/>
    <w:charset w:val="00"/>
    <w:family w:val="auto"/>
    <w:notTrueType/>
    <w:pitch w:val="variable"/>
    <w:sig w:usb0="00000001" w:usb1="4000005B" w:usb2="00000000" w:usb3="00000000" w:csb0="0000009B" w:csb1="00000000"/>
  </w:font>
  <w:font w:name="Gotham Light">
    <w:altName w:val="Arial"/>
    <w:panose1 w:val="00000000000000000000"/>
    <w:charset w:val="00"/>
    <w:family w:val="auto"/>
    <w:notTrueType/>
    <w:pitch w:val="variable"/>
    <w:sig w:usb0="00000001" w:usb1="4000005B" w:usb2="00000000" w:usb3="00000000" w:csb0="0000009B" w:csb1="00000000"/>
  </w:font>
  <w:font w:name="Gotham Book">
    <w:altName w:val="Times New Roman"/>
    <w:panose1 w:val="00000000000000000000"/>
    <w:charset w:val="00"/>
    <w:family w:val="auto"/>
    <w:notTrueType/>
    <w:pitch w:val="variable"/>
    <w:sig w:usb0="00000001" w:usb1="4000005B" w:usb2="00000000" w:usb3="00000000" w:csb0="0000009B" w:csb1="00000000"/>
  </w:font>
  <w:font w:name="Gotham Medium">
    <w:altName w:val="Times New Roman"/>
    <w:panose1 w:val="00000000000000000000"/>
    <w:charset w:val="00"/>
    <w:family w:val="auto"/>
    <w:notTrueType/>
    <w:pitch w:val="variable"/>
    <w:sig w:usb0="00000001" w:usb1="4000005B" w:usb2="00000000" w:usb3="00000000" w:csb0="0000009B"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C1043" w14:textId="77777777" w:rsidR="006655D0" w:rsidRPr="00430E07" w:rsidRDefault="006655D0" w:rsidP="00430E07">
    <w:pPr>
      <w:pBdr>
        <w:top w:val="single" w:sz="4" w:space="1" w:color="auto"/>
      </w:pBdr>
      <w:jc w:val="center"/>
      <w:rPr>
        <w:rFonts w:ascii="Calibri" w:eastAsia="MS Mincho" w:hAnsi="Calibri" w:cs="Times New Roman"/>
        <w:b/>
        <w:bCs/>
        <w:i/>
        <w:iCs/>
        <w:sz w:val="16"/>
        <w:szCs w:val="18"/>
      </w:rPr>
    </w:pPr>
    <w:r w:rsidRPr="00430E07">
      <w:rPr>
        <w:rFonts w:ascii="Calibri" w:eastAsia="MS Mincho" w:hAnsi="Calibri" w:cs="Times New Roman"/>
        <w:b/>
        <w:bCs/>
        <w:i/>
        <w:iCs/>
        <w:sz w:val="16"/>
        <w:szCs w:val="18"/>
      </w:rPr>
      <w:t xml:space="preserve">Once printed this is an uncontrolled document </w:t>
    </w:r>
  </w:p>
  <w:tbl>
    <w:tblPr>
      <w:tblW w:w="5595" w:type="pct"/>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4"/>
      <w:gridCol w:w="1415"/>
      <w:gridCol w:w="1596"/>
      <w:gridCol w:w="2309"/>
    </w:tblGrid>
    <w:tr w:rsidR="006655D0" w:rsidRPr="00430E07" w14:paraId="4327160A" w14:textId="77777777" w:rsidTr="00AF6617">
      <w:trPr>
        <w:trHeight w:val="200"/>
      </w:trPr>
      <w:tc>
        <w:tcPr>
          <w:tcW w:w="2567" w:type="pct"/>
        </w:tcPr>
        <w:p w14:paraId="1C5AF3C3" w14:textId="77777777" w:rsidR="006655D0" w:rsidRPr="00430E07" w:rsidRDefault="006655D0" w:rsidP="00430E07">
          <w:pPr>
            <w:tabs>
              <w:tab w:val="right" w:pos="4765"/>
            </w:tabs>
            <w:autoSpaceDE w:val="0"/>
            <w:autoSpaceDN w:val="0"/>
            <w:adjustRightInd w:val="0"/>
            <w:rPr>
              <w:rFonts w:ascii="Calibri" w:eastAsia="Times New Roman" w:hAnsi="Calibri" w:cs="Times New Roman"/>
              <w:sz w:val="16"/>
              <w:szCs w:val="18"/>
              <w:lang w:val="en-AU" w:eastAsia="en-AU"/>
            </w:rPr>
          </w:pPr>
          <w:r>
            <w:rPr>
              <w:rFonts w:ascii="Calibri" w:eastAsia="Times New Roman" w:hAnsi="Calibri" w:cs="Times New Roman"/>
              <w:sz w:val="16"/>
              <w:szCs w:val="18"/>
              <w:lang w:val="en-AU" w:eastAsia="en-AU"/>
            </w:rPr>
            <w:t>ANIT Australia Pty Ltd T/A Albright Institute of Business and Language</w:t>
          </w:r>
        </w:p>
      </w:tc>
      <w:tc>
        <w:tcPr>
          <w:tcW w:w="647" w:type="pct"/>
        </w:tcPr>
        <w:p w14:paraId="15CB7E6B" w14:textId="77777777" w:rsidR="006655D0" w:rsidRPr="00430E07" w:rsidRDefault="006655D0" w:rsidP="00430E07">
          <w:pPr>
            <w:rPr>
              <w:rFonts w:ascii="Calibri" w:eastAsia="Times New Roman" w:hAnsi="Calibri" w:cs="Times New Roman"/>
              <w:sz w:val="16"/>
              <w:szCs w:val="18"/>
              <w:lang w:val="en-AU" w:eastAsia="en-AU"/>
            </w:rPr>
          </w:pPr>
          <w:r>
            <w:rPr>
              <w:rFonts w:ascii="Calibri" w:eastAsia="Times New Roman" w:hAnsi="Calibri" w:cs="Times New Roman"/>
              <w:sz w:val="16"/>
              <w:szCs w:val="18"/>
              <w:lang w:val="en-AU" w:eastAsia="en-AU"/>
            </w:rPr>
            <w:t>RTO #: 45041</w:t>
          </w:r>
        </w:p>
      </w:tc>
      <w:tc>
        <w:tcPr>
          <w:tcW w:w="730" w:type="pct"/>
        </w:tcPr>
        <w:p w14:paraId="69B8734E" w14:textId="77777777" w:rsidR="006655D0" w:rsidRPr="00430E07" w:rsidRDefault="006655D0" w:rsidP="00681B8B">
          <w:pPr>
            <w:keepLines/>
            <w:tabs>
              <w:tab w:val="center" w:pos="4153"/>
              <w:tab w:val="right" w:pos="8306"/>
            </w:tabs>
            <w:rPr>
              <w:rFonts w:ascii="Calibri" w:eastAsia="Times New Roman" w:hAnsi="Calibri" w:cs="Times New Roman"/>
              <w:sz w:val="16"/>
              <w:szCs w:val="18"/>
              <w:lang w:val="en-AU" w:eastAsia="en-AU"/>
            </w:rPr>
          </w:pPr>
          <w:r w:rsidRPr="00681B8B">
            <w:rPr>
              <w:rFonts w:ascii="Calibri" w:eastAsia="Times New Roman" w:hAnsi="Calibri" w:cs="Times New Roman"/>
              <w:sz w:val="16"/>
              <w:szCs w:val="18"/>
              <w:lang w:val="en-AU" w:eastAsia="en-AU"/>
            </w:rPr>
            <w:t xml:space="preserve">CRICOS </w:t>
          </w:r>
          <w:r>
            <w:rPr>
              <w:rFonts w:ascii="Calibri" w:eastAsia="Times New Roman" w:hAnsi="Calibri" w:cs="Times New Roman"/>
              <w:sz w:val="16"/>
              <w:szCs w:val="18"/>
              <w:lang w:val="en-AU" w:eastAsia="en-AU"/>
            </w:rPr>
            <w:t>#</w:t>
          </w:r>
          <w:r w:rsidRPr="00681B8B">
            <w:rPr>
              <w:rFonts w:ascii="Calibri" w:eastAsia="Times New Roman" w:hAnsi="Calibri" w:cs="Times New Roman"/>
              <w:sz w:val="16"/>
              <w:szCs w:val="18"/>
              <w:lang w:val="en-AU" w:eastAsia="en-AU"/>
            </w:rPr>
            <w:t xml:space="preserve">: </w:t>
          </w:r>
          <w:r>
            <w:rPr>
              <w:rFonts w:ascii="Calibri" w:eastAsia="Times New Roman" w:hAnsi="Calibri" w:cs="Times New Roman"/>
              <w:sz w:val="16"/>
              <w:szCs w:val="18"/>
              <w:lang w:val="en-AU" w:eastAsia="en-AU"/>
            </w:rPr>
            <w:t>03553J</w:t>
          </w:r>
        </w:p>
      </w:tc>
      <w:tc>
        <w:tcPr>
          <w:tcW w:w="1056" w:type="pct"/>
        </w:tcPr>
        <w:p w14:paraId="6B38F5B7" w14:textId="77777777" w:rsidR="006655D0" w:rsidRPr="00430E07" w:rsidRDefault="006655D0" w:rsidP="00430E07">
          <w:pPr>
            <w:keepLines/>
            <w:tabs>
              <w:tab w:val="center" w:pos="4153"/>
              <w:tab w:val="right" w:pos="8306"/>
            </w:tabs>
            <w:rPr>
              <w:rFonts w:ascii="Calibri" w:eastAsia="Times New Roman" w:hAnsi="Calibri" w:cs="Times New Roman"/>
              <w:sz w:val="16"/>
              <w:szCs w:val="18"/>
              <w:lang w:val="en-AU" w:eastAsia="en-AU"/>
            </w:rPr>
          </w:pPr>
          <w:hyperlink r:id="rId1" w:history="1">
            <w:r w:rsidRPr="00D621D4">
              <w:rPr>
                <w:rStyle w:val="Hyperlink"/>
                <w:rFonts w:ascii="Calibri" w:eastAsia="Times New Roman" w:hAnsi="Calibri" w:cs="Times New Roman"/>
                <w:sz w:val="16"/>
                <w:szCs w:val="18"/>
                <w:lang w:val="en-AU" w:eastAsia="en-AU"/>
              </w:rPr>
              <w:t>www.albrightinstitute.edu.au</w:t>
            </w:r>
          </w:hyperlink>
          <w:r>
            <w:rPr>
              <w:rFonts w:ascii="Calibri" w:eastAsia="Times New Roman" w:hAnsi="Calibri" w:cs="Times New Roman"/>
              <w:sz w:val="16"/>
              <w:szCs w:val="18"/>
              <w:lang w:val="en-AU" w:eastAsia="en-AU"/>
            </w:rPr>
            <w:t xml:space="preserve"> </w:t>
          </w:r>
        </w:p>
      </w:tc>
    </w:tr>
    <w:tr w:rsidR="006655D0" w:rsidRPr="00430E07" w14:paraId="7B72051E" w14:textId="77777777" w:rsidTr="00AF6617">
      <w:trPr>
        <w:trHeight w:val="230"/>
      </w:trPr>
      <w:tc>
        <w:tcPr>
          <w:tcW w:w="2567" w:type="pct"/>
        </w:tcPr>
        <w:p w14:paraId="4AAC86D4" w14:textId="69D382A7" w:rsidR="006655D0" w:rsidRPr="00430E07" w:rsidRDefault="006655D0" w:rsidP="00AF6617">
          <w:pPr>
            <w:keepLines/>
            <w:tabs>
              <w:tab w:val="center" w:pos="4153"/>
              <w:tab w:val="right" w:pos="8306"/>
            </w:tabs>
            <w:rPr>
              <w:rFonts w:ascii="Calibri" w:eastAsia="Times New Roman" w:hAnsi="Calibri" w:cs="Times New Roman"/>
              <w:sz w:val="16"/>
              <w:szCs w:val="18"/>
              <w:lang w:val="en-AU" w:eastAsia="en-AU"/>
            </w:rPr>
          </w:pPr>
          <w:r>
            <w:rPr>
              <w:rFonts w:ascii="Calibri" w:eastAsia="Times New Roman" w:hAnsi="Calibri" w:cs="Times New Roman"/>
              <w:sz w:val="16"/>
              <w:szCs w:val="18"/>
              <w:lang w:val="en-AU" w:eastAsia="en-AU"/>
            </w:rPr>
            <w:t>Head Office Address</w:t>
          </w:r>
          <w:r w:rsidRPr="00430E07">
            <w:rPr>
              <w:rFonts w:ascii="Calibri" w:eastAsia="Times New Roman" w:hAnsi="Calibri" w:cs="Times New Roman"/>
              <w:sz w:val="16"/>
              <w:szCs w:val="18"/>
              <w:lang w:val="en-AU" w:eastAsia="en-AU"/>
            </w:rPr>
            <w:t>:</w:t>
          </w:r>
          <w:r w:rsidRPr="00430E07">
            <w:rPr>
              <w:rFonts w:ascii="Garamond" w:eastAsia="Times New Roman" w:hAnsi="Garamond" w:cs="Times New Roman"/>
              <w:sz w:val="24"/>
              <w:szCs w:val="20"/>
              <w:lang w:val="en-AU" w:eastAsia="en-AU"/>
            </w:rPr>
            <w:t xml:space="preserve"> </w:t>
          </w:r>
          <w:r w:rsidRPr="00681B8B">
            <w:rPr>
              <w:rFonts w:ascii="Calibri" w:eastAsia="Times New Roman" w:hAnsi="Calibri" w:cs="Times New Roman"/>
              <w:sz w:val="16"/>
              <w:szCs w:val="18"/>
              <w:lang w:val="en-AU" w:eastAsia="en-AU"/>
            </w:rPr>
            <w:t>Level 2,</w:t>
          </w:r>
          <w:r>
            <w:rPr>
              <w:rFonts w:ascii="Calibri" w:eastAsia="Times New Roman" w:hAnsi="Calibri" w:cs="Times New Roman"/>
              <w:sz w:val="16"/>
              <w:szCs w:val="18"/>
              <w:lang w:val="en-AU" w:eastAsia="en-AU"/>
            </w:rPr>
            <w:t xml:space="preserve">4 &amp; 8, </w:t>
          </w:r>
          <w:r w:rsidRPr="00681B8B">
            <w:rPr>
              <w:rFonts w:ascii="Calibri" w:eastAsia="Times New Roman" w:hAnsi="Calibri" w:cs="Times New Roman"/>
              <w:sz w:val="16"/>
              <w:szCs w:val="18"/>
              <w:lang w:val="en-AU" w:eastAsia="en-AU"/>
            </w:rPr>
            <w:t xml:space="preserve">341-345 Queen Street, Melbourne VIC </w:t>
          </w:r>
          <w:r>
            <w:rPr>
              <w:rFonts w:ascii="Calibri" w:eastAsia="Times New Roman" w:hAnsi="Calibri" w:cs="Times New Roman"/>
              <w:sz w:val="16"/>
              <w:szCs w:val="18"/>
              <w:lang w:val="en-AU" w:eastAsia="en-AU"/>
            </w:rPr>
            <w:t>3</w:t>
          </w:r>
          <w:r w:rsidRPr="00681B8B">
            <w:rPr>
              <w:rFonts w:ascii="Calibri" w:eastAsia="Times New Roman" w:hAnsi="Calibri" w:cs="Times New Roman"/>
              <w:sz w:val="16"/>
              <w:szCs w:val="18"/>
              <w:lang w:val="en-AU" w:eastAsia="en-AU"/>
            </w:rPr>
            <w:t>000</w:t>
          </w:r>
        </w:p>
      </w:tc>
      <w:tc>
        <w:tcPr>
          <w:tcW w:w="647" w:type="pct"/>
        </w:tcPr>
        <w:p w14:paraId="455BA469" w14:textId="77777777" w:rsidR="006655D0" w:rsidRPr="00430E07" w:rsidRDefault="006655D0" w:rsidP="00681B8B">
          <w:pPr>
            <w:keepLines/>
            <w:tabs>
              <w:tab w:val="center" w:pos="4153"/>
              <w:tab w:val="right" w:pos="8306"/>
            </w:tabs>
            <w:rPr>
              <w:rFonts w:ascii="Calibri" w:eastAsia="Times New Roman" w:hAnsi="Calibri" w:cs="Times New Roman"/>
              <w:sz w:val="16"/>
              <w:szCs w:val="18"/>
              <w:lang w:val="en-AU" w:eastAsia="en-AU"/>
            </w:rPr>
          </w:pPr>
          <w:r w:rsidRPr="00430E07">
            <w:rPr>
              <w:rFonts w:ascii="Calibri" w:eastAsia="Times New Roman" w:hAnsi="Calibri" w:cs="Times New Roman"/>
              <w:sz w:val="16"/>
              <w:szCs w:val="18"/>
              <w:lang w:val="en-AU" w:eastAsia="en-AU"/>
            </w:rPr>
            <w:t xml:space="preserve">Tel: </w:t>
          </w:r>
          <w:r>
            <w:rPr>
              <w:rFonts w:ascii="Calibri" w:eastAsia="Times New Roman" w:hAnsi="Calibri" w:cs="Times New Roman"/>
              <w:sz w:val="16"/>
              <w:szCs w:val="18"/>
              <w:lang w:val="en-AU" w:eastAsia="en-AU"/>
            </w:rPr>
            <w:t>1300 189 154</w:t>
          </w:r>
        </w:p>
      </w:tc>
      <w:tc>
        <w:tcPr>
          <w:tcW w:w="1786" w:type="pct"/>
          <w:gridSpan w:val="2"/>
        </w:tcPr>
        <w:p w14:paraId="2042BCCC" w14:textId="77777777" w:rsidR="006655D0" w:rsidRPr="00430E07" w:rsidRDefault="006655D0" w:rsidP="00681B8B">
          <w:pPr>
            <w:keepLines/>
            <w:tabs>
              <w:tab w:val="center" w:pos="4153"/>
              <w:tab w:val="right" w:pos="8306"/>
            </w:tabs>
            <w:rPr>
              <w:rFonts w:ascii="Calibri" w:eastAsia="Times New Roman" w:hAnsi="Calibri" w:cs="Times New Roman"/>
              <w:sz w:val="16"/>
              <w:szCs w:val="18"/>
              <w:lang w:val="en-AU" w:eastAsia="en-AU"/>
            </w:rPr>
          </w:pPr>
          <w:r>
            <w:rPr>
              <w:rFonts w:ascii="Calibri" w:eastAsia="Times New Roman" w:hAnsi="Calibri" w:cs="Times New Roman"/>
              <w:sz w:val="16"/>
              <w:szCs w:val="18"/>
              <w:lang w:val="en-AU" w:eastAsia="en-AU"/>
            </w:rPr>
            <w:t>Campuses at: Sydney, Brisbane, Adelaide</w:t>
          </w:r>
        </w:p>
      </w:tc>
    </w:tr>
    <w:tr w:rsidR="006655D0" w:rsidRPr="00430E07" w14:paraId="47B21650" w14:textId="77777777" w:rsidTr="00C9539F">
      <w:trPr>
        <w:trHeight w:val="257"/>
      </w:trPr>
      <w:tc>
        <w:tcPr>
          <w:tcW w:w="5000" w:type="pct"/>
          <w:gridSpan w:val="4"/>
        </w:tcPr>
        <w:p w14:paraId="5278F535" w14:textId="0677BD22" w:rsidR="006655D0" w:rsidRPr="00430E07" w:rsidRDefault="006655D0" w:rsidP="009E2E89">
          <w:pPr>
            <w:keepLines/>
            <w:tabs>
              <w:tab w:val="center" w:pos="4153"/>
              <w:tab w:val="right" w:pos="8306"/>
            </w:tabs>
            <w:rPr>
              <w:rFonts w:ascii="Calibri" w:eastAsia="Times New Roman" w:hAnsi="Calibri" w:cs="Times New Roman"/>
              <w:sz w:val="16"/>
              <w:szCs w:val="18"/>
              <w:vertAlign w:val="subscript"/>
              <w:lang w:val="en-AU" w:eastAsia="en-AU"/>
            </w:rPr>
          </w:pPr>
          <w:r w:rsidRPr="00430E07">
            <w:rPr>
              <w:rFonts w:ascii="Calibri" w:eastAsia="Times New Roman" w:hAnsi="Calibri" w:cs="Times New Roman"/>
              <w:sz w:val="16"/>
              <w:szCs w:val="18"/>
              <w:lang w:val="en-AU" w:eastAsia="en-AU"/>
            </w:rPr>
            <w:t>P</w:t>
          </w:r>
          <w:r>
            <w:rPr>
              <w:rFonts w:ascii="Calibri" w:eastAsia="Times New Roman" w:hAnsi="Calibri" w:cs="Times New Roman"/>
              <w:sz w:val="16"/>
              <w:szCs w:val="18"/>
              <w:lang w:val="en-AU" w:eastAsia="en-AU"/>
            </w:rPr>
            <w:t xml:space="preserve">P </w:t>
          </w:r>
          <w:r w:rsidRPr="00430E07">
            <w:rPr>
              <w:rFonts w:ascii="Calibri" w:eastAsia="Times New Roman" w:hAnsi="Calibri" w:cs="Times New Roman"/>
              <w:sz w:val="16"/>
              <w:szCs w:val="18"/>
              <w:lang w:val="en-AU" w:eastAsia="en-AU"/>
            </w:rPr>
            <w:t xml:space="preserve">- </w:t>
          </w:r>
          <w:r w:rsidR="009E2E89">
            <w:rPr>
              <w:rFonts w:ascii="Calibri" w:eastAsia="Times New Roman" w:hAnsi="Calibri" w:cs="Times New Roman"/>
              <w:sz w:val="16"/>
              <w:szCs w:val="18"/>
              <w:lang w:val="en-AU" w:eastAsia="en-AU"/>
            </w:rPr>
            <w:t>35</w:t>
          </w:r>
          <w:r w:rsidRPr="00430E07">
            <w:rPr>
              <w:rFonts w:ascii="Calibri" w:eastAsia="Times New Roman" w:hAnsi="Calibri" w:cs="Times New Roman"/>
              <w:sz w:val="16"/>
              <w:szCs w:val="18"/>
              <w:lang w:val="en-AU" w:eastAsia="en-AU"/>
            </w:rPr>
            <w:t xml:space="preserve"> </w:t>
          </w:r>
          <w:r w:rsidR="009E2E89" w:rsidRPr="009E2E89">
            <w:rPr>
              <w:rFonts w:ascii="Calibri" w:eastAsia="Times New Roman" w:hAnsi="Calibri" w:cs="Times New Roman"/>
              <w:sz w:val="16"/>
              <w:szCs w:val="18"/>
              <w:lang w:val="en-AU" w:eastAsia="en-AU"/>
            </w:rPr>
            <w:t xml:space="preserve">Internship Framework Policy and Procedure </w:t>
          </w:r>
          <w:r w:rsidRPr="00430E07">
            <w:rPr>
              <w:rFonts w:ascii="Calibri" w:eastAsia="Times New Roman" w:hAnsi="Calibri" w:cs="Times New Roman"/>
              <w:sz w:val="16"/>
              <w:szCs w:val="18"/>
              <w:lang w:val="en-AU" w:eastAsia="en-AU"/>
            </w:rPr>
            <w:t>| Version</w:t>
          </w:r>
          <w:r>
            <w:rPr>
              <w:rFonts w:ascii="Calibri" w:eastAsia="Times New Roman" w:hAnsi="Calibri" w:cs="Times New Roman"/>
              <w:sz w:val="16"/>
              <w:szCs w:val="18"/>
              <w:lang w:val="en-AU" w:eastAsia="en-AU"/>
            </w:rPr>
            <w:t>:</w:t>
          </w:r>
          <w:r w:rsidRPr="00430E07">
            <w:rPr>
              <w:rFonts w:ascii="Calibri" w:eastAsia="Times New Roman" w:hAnsi="Calibri" w:cs="Times New Roman"/>
              <w:sz w:val="16"/>
              <w:szCs w:val="18"/>
              <w:lang w:val="en-AU" w:eastAsia="en-AU"/>
            </w:rPr>
            <w:t xml:space="preserve"> </w:t>
          </w:r>
          <w:r w:rsidR="007E6029">
            <w:rPr>
              <w:rFonts w:ascii="Calibri" w:eastAsia="Times New Roman" w:hAnsi="Calibri" w:cs="Times New Roman"/>
              <w:sz w:val="16"/>
              <w:szCs w:val="18"/>
              <w:lang w:val="en-AU" w:eastAsia="en-AU"/>
            </w:rPr>
            <w:t>2</w:t>
          </w:r>
          <w:r w:rsidR="009E292F">
            <w:rPr>
              <w:rFonts w:ascii="Calibri" w:eastAsia="Times New Roman" w:hAnsi="Calibri" w:cs="Times New Roman"/>
              <w:sz w:val="16"/>
              <w:szCs w:val="18"/>
              <w:lang w:val="en-AU" w:eastAsia="en-AU"/>
            </w:rPr>
            <w:t>.1</w:t>
          </w:r>
          <w:r>
            <w:rPr>
              <w:rFonts w:ascii="Calibri" w:eastAsia="Times New Roman" w:hAnsi="Calibri" w:cs="Times New Roman"/>
              <w:sz w:val="16"/>
              <w:szCs w:val="18"/>
              <w:lang w:val="en-AU" w:eastAsia="en-AU"/>
            </w:rPr>
            <w:t xml:space="preserve"> </w:t>
          </w:r>
          <w:r w:rsidRPr="00430E07">
            <w:rPr>
              <w:rFonts w:ascii="Calibri" w:eastAsia="Times New Roman" w:hAnsi="Calibri" w:cs="Times New Roman"/>
              <w:sz w:val="16"/>
              <w:szCs w:val="18"/>
              <w:lang w:val="en-AU" w:eastAsia="en-AU"/>
            </w:rPr>
            <w:t xml:space="preserve">| Last Reviewed: </w:t>
          </w:r>
          <w:r w:rsidR="009E292F">
            <w:rPr>
              <w:rFonts w:ascii="Calibri" w:eastAsia="Times New Roman" w:hAnsi="Calibri" w:cs="Times New Roman"/>
              <w:sz w:val="16"/>
              <w:szCs w:val="18"/>
              <w:lang w:val="en-AU" w:eastAsia="en-AU"/>
            </w:rPr>
            <w:t>September</w:t>
          </w:r>
          <w:r>
            <w:rPr>
              <w:rFonts w:ascii="Calibri" w:eastAsia="Times New Roman" w:hAnsi="Calibri" w:cs="Times New Roman"/>
              <w:sz w:val="16"/>
              <w:szCs w:val="18"/>
              <w:lang w:val="en-AU" w:eastAsia="en-AU"/>
            </w:rPr>
            <w:t xml:space="preserve"> 202</w:t>
          </w:r>
          <w:r w:rsidR="007E6029">
            <w:rPr>
              <w:rFonts w:ascii="Calibri" w:eastAsia="Times New Roman" w:hAnsi="Calibri" w:cs="Times New Roman"/>
              <w:sz w:val="16"/>
              <w:szCs w:val="18"/>
              <w:lang w:val="en-AU" w:eastAsia="en-AU"/>
            </w:rPr>
            <w:t>5</w:t>
          </w:r>
          <w:r w:rsidRPr="00430E07">
            <w:rPr>
              <w:rFonts w:ascii="Calibri" w:eastAsia="Times New Roman" w:hAnsi="Calibri" w:cs="Times New Roman"/>
              <w:sz w:val="16"/>
              <w:szCs w:val="18"/>
              <w:lang w:val="en-AU" w:eastAsia="en-AU"/>
            </w:rPr>
            <w:t xml:space="preserve"> | Next review Date: </w:t>
          </w:r>
          <w:r>
            <w:rPr>
              <w:rFonts w:ascii="Calibri" w:eastAsia="Times New Roman" w:hAnsi="Calibri" w:cs="Times New Roman"/>
              <w:sz w:val="16"/>
              <w:szCs w:val="18"/>
              <w:lang w:val="en-AU" w:eastAsia="en-AU"/>
            </w:rPr>
            <w:t xml:space="preserve">As required   </w:t>
          </w:r>
          <w:r w:rsidRPr="00430E07">
            <w:rPr>
              <w:rFonts w:ascii="Calibri" w:eastAsia="Times New Roman" w:hAnsi="Calibri" w:cs="Times New Roman"/>
              <w:sz w:val="16"/>
              <w:szCs w:val="18"/>
              <w:lang w:val="en-AU" w:eastAsia="en-AU"/>
            </w:rPr>
            <w:t xml:space="preserve">| Page </w:t>
          </w:r>
          <w:r w:rsidRPr="00430E07">
            <w:rPr>
              <w:rFonts w:ascii="Calibri" w:eastAsia="Times New Roman" w:hAnsi="Calibri" w:cs="Times New Roman"/>
              <w:sz w:val="16"/>
              <w:szCs w:val="18"/>
              <w:lang w:val="en-AU" w:eastAsia="en-AU"/>
            </w:rPr>
            <w:fldChar w:fldCharType="begin"/>
          </w:r>
          <w:r w:rsidRPr="00430E07">
            <w:rPr>
              <w:rFonts w:ascii="Calibri" w:eastAsia="Times New Roman" w:hAnsi="Calibri" w:cs="Times New Roman"/>
              <w:sz w:val="16"/>
              <w:szCs w:val="18"/>
              <w:lang w:val="en-AU" w:eastAsia="en-AU"/>
            </w:rPr>
            <w:instrText xml:space="preserve"> PAGE </w:instrText>
          </w:r>
          <w:r w:rsidRPr="00430E07">
            <w:rPr>
              <w:rFonts w:ascii="Calibri" w:eastAsia="Times New Roman" w:hAnsi="Calibri" w:cs="Times New Roman"/>
              <w:sz w:val="16"/>
              <w:szCs w:val="18"/>
              <w:lang w:val="en-AU" w:eastAsia="en-AU"/>
            </w:rPr>
            <w:fldChar w:fldCharType="separate"/>
          </w:r>
          <w:r w:rsidR="00C52C6F">
            <w:rPr>
              <w:rFonts w:ascii="Calibri" w:eastAsia="Times New Roman" w:hAnsi="Calibri" w:cs="Times New Roman"/>
              <w:noProof/>
              <w:sz w:val="16"/>
              <w:szCs w:val="18"/>
              <w:lang w:val="en-AU" w:eastAsia="en-AU"/>
            </w:rPr>
            <w:t>1</w:t>
          </w:r>
          <w:r w:rsidRPr="00430E07">
            <w:rPr>
              <w:rFonts w:ascii="Calibri" w:eastAsia="Times New Roman" w:hAnsi="Calibri" w:cs="Times New Roman"/>
              <w:sz w:val="16"/>
              <w:szCs w:val="18"/>
              <w:lang w:val="en-AU" w:eastAsia="en-AU"/>
            </w:rPr>
            <w:fldChar w:fldCharType="end"/>
          </w:r>
          <w:r w:rsidRPr="00430E07">
            <w:rPr>
              <w:rFonts w:ascii="Calibri" w:eastAsia="Times New Roman" w:hAnsi="Calibri" w:cs="Times New Roman"/>
              <w:sz w:val="16"/>
              <w:szCs w:val="18"/>
              <w:lang w:val="en-AU" w:eastAsia="en-AU"/>
            </w:rPr>
            <w:t xml:space="preserve"> of </w:t>
          </w:r>
          <w:r w:rsidR="009E292F">
            <w:rPr>
              <w:rFonts w:ascii="Calibri" w:eastAsia="Times New Roman" w:hAnsi="Calibri" w:cs="Times New Roman"/>
              <w:sz w:val="16"/>
              <w:szCs w:val="18"/>
              <w:lang w:val="en-AU" w:eastAsia="en-AU"/>
            </w:rPr>
            <w:t>15</w:t>
          </w:r>
        </w:p>
      </w:tc>
    </w:tr>
  </w:tbl>
  <w:p w14:paraId="384BA73E" w14:textId="77777777" w:rsidR="006655D0" w:rsidRPr="00430E07" w:rsidRDefault="006655D0" w:rsidP="00430E07">
    <w:pPr>
      <w:rPr>
        <w:rFonts w:asciiTheme="minorHAnsi" w:hAnsiTheme="minorHAnsi" w:cstheme="minorHAnsi"/>
        <w:color w:val="005FA3"/>
        <w:szCs w:val="18"/>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60"/>
      <w:gridCol w:w="3260"/>
      <w:gridCol w:w="3260"/>
    </w:tblGrid>
    <w:tr w:rsidR="122622FD" w14:paraId="354D7C26" w14:textId="77777777" w:rsidTr="122622FD">
      <w:trPr>
        <w:trHeight w:val="300"/>
      </w:trPr>
      <w:tc>
        <w:tcPr>
          <w:tcW w:w="3260" w:type="dxa"/>
        </w:tcPr>
        <w:p w14:paraId="4A6E1E8D" w14:textId="6A89012B" w:rsidR="122622FD" w:rsidRDefault="122622FD" w:rsidP="122622FD">
          <w:pPr>
            <w:pStyle w:val="Header"/>
            <w:ind w:left="-115"/>
            <w:rPr>
              <w:rFonts w:eastAsia="Calibri"/>
              <w:szCs w:val="18"/>
            </w:rPr>
          </w:pPr>
        </w:p>
      </w:tc>
      <w:tc>
        <w:tcPr>
          <w:tcW w:w="3260" w:type="dxa"/>
        </w:tcPr>
        <w:p w14:paraId="1B1470E2" w14:textId="5EAA5289" w:rsidR="122622FD" w:rsidRDefault="122622FD" w:rsidP="122622FD">
          <w:pPr>
            <w:pStyle w:val="Header"/>
            <w:jc w:val="center"/>
            <w:rPr>
              <w:rFonts w:eastAsia="Calibri"/>
              <w:szCs w:val="18"/>
            </w:rPr>
          </w:pPr>
        </w:p>
      </w:tc>
      <w:tc>
        <w:tcPr>
          <w:tcW w:w="3260" w:type="dxa"/>
        </w:tcPr>
        <w:p w14:paraId="183FC1A7" w14:textId="2E2ED848" w:rsidR="122622FD" w:rsidRDefault="122622FD" w:rsidP="122622FD">
          <w:pPr>
            <w:pStyle w:val="Header"/>
            <w:ind w:right="-115"/>
            <w:jc w:val="right"/>
            <w:rPr>
              <w:rFonts w:eastAsia="Calibri"/>
              <w:szCs w:val="18"/>
            </w:rPr>
          </w:pPr>
        </w:p>
      </w:tc>
    </w:tr>
  </w:tbl>
  <w:p w14:paraId="2EA2D681" w14:textId="2851528D" w:rsidR="122622FD" w:rsidRDefault="122622FD" w:rsidP="122622FD">
    <w:pPr>
      <w:pStyle w:val="Footer"/>
      <w:rPr>
        <w:rFonts w:eastAsia="Calibr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A08C8" w14:textId="77777777" w:rsidR="00E6579A" w:rsidRDefault="00E6579A" w:rsidP="00992CAB">
      <w:r>
        <w:separator/>
      </w:r>
    </w:p>
  </w:footnote>
  <w:footnote w:type="continuationSeparator" w:id="0">
    <w:p w14:paraId="5D5E7212" w14:textId="77777777" w:rsidR="00E6579A" w:rsidRDefault="00E6579A" w:rsidP="00992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630B" w14:textId="77777777" w:rsidR="006655D0" w:rsidRDefault="006655D0" w:rsidP="00AA5728">
    <w:pPr>
      <w:pStyle w:val="Header"/>
      <w:ind w:left="-851"/>
    </w:pPr>
    <w:r>
      <w:t xml:space="preserve">       </w:t>
    </w:r>
    <w:r>
      <w:rPr>
        <w:noProof/>
        <w:lang w:val="en-AU" w:eastAsia="en-AU"/>
      </w:rPr>
      <w:drawing>
        <wp:inline distT="0" distB="0" distL="0" distR="0" wp14:anchorId="796691C2" wp14:editId="5D58AC9E">
          <wp:extent cx="1394442" cy="476028"/>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1394442" cy="47602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398E2" w14:textId="77777777" w:rsidR="006655D0" w:rsidRPr="00301C31" w:rsidRDefault="006655D0" w:rsidP="00310EBA">
    <w:pPr>
      <w:pStyle w:val="Header"/>
      <w:ind w:left="-709"/>
      <w:rPr>
        <w:color w:val="C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224D"/>
    <w:multiLevelType w:val="hybridMultilevel"/>
    <w:tmpl w:val="4B847B4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2C55F15"/>
    <w:multiLevelType w:val="hybridMultilevel"/>
    <w:tmpl w:val="F80C8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190863"/>
    <w:multiLevelType w:val="multilevel"/>
    <w:tmpl w:val="BD9A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A0B28"/>
    <w:multiLevelType w:val="hybridMultilevel"/>
    <w:tmpl w:val="3212372E"/>
    <w:lvl w:ilvl="0" w:tplc="652A8E80">
      <w:start w:val="1"/>
      <w:numFmt w:val="bullet"/>
      <w:pStyle w:val="bullet"/>
      <w:lvlText w:val=""/>
      <w:lvlJc w:val="left"/>
      <w:pPr>
        <w:tabs>
          <w:tab w:val="num" w:pos="284"/>
        </w:tabs>
        <w:ind w:left="284" w:hanging="284"/>
      </w:pPr>
      <w:rPr>
        <w:rFonts w:ascii="Symbol" w:hAnsi="Symbol" w:hint="default"/>
        <w:color w:val="043A65"/>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A0619"/>
    <w:multiLevelType w:val="multilevel"/>
    <w:tmpl w:val="1B0ABCEC"/>
    <w:lvl w:ilvl="0">
      <w:start w:val="4"/>
      <w:numFmt w:val="decimal"/>
      <w:lvlText w:val="%1"/>
      <w:lvlJc w:val="left"/>
      <w:pPr>
        <w:ind w:left="808" w:hanging="708"/>
      </w:pPr>
      <w:rPr>
        <w:rFonts w:hint="default"/>
      </w:rPr>
    </w:lvl>
    <w:lvl w:ilvl="1">
      <w:start w:val="1"/>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08"/>
      </w:pPr>
      <w:rPr>
        <w:rFonts w:ascii="Calibri" w:eastAsia="Calibri" w:hAnsi="Calibri" w:hint="default"/>
        <w:sz w:val="22"/>
        <w:szCs w:val="22"/>
      </w:rPr>
    </w:lvl>
    <w:lvl w:ilvl="3">
      <w:start w:val="1"/>
      <w:numFmt w:val="bullet"/>
      <w:lvlText w:val="•"/>
      <w:lvlJc w:val="left"/>
      <w:pPr>
        <w:ind w:left="3252" w:hanging="708"/>
      </w:pPr>
      <w:rPr>
        <w:rFonts w:hint="default"/>
      </w:rPr>
    </w:lvl>
    <w:lvl w:ilvl="4">
      <w:start w:val="1"/>
      <w:numFmt w:val="bullet"/>
      <w:lvlText w:val="•"/>
      <w:lvlJc w:val="left"/>
      <w:pPr>
        <w:ind w:left="4109" w:hanging="708"/>
      </w:pPr>
      <w:rPr>
        <w:rFonts w:hint="default"/>
      </w:rPr>
    </w:lvl>
    <w:lvl w:ilvl="5">
      <w:start w:val="1"/>
      <w:numFmt w:val="bullet"/>
      <w:lvlText w:val="•"/>
      <w:lvlJc w:val="left"/>
      <w:pPr>
        <w:ind w:left="4965" w:hanging="708"/>
      </w:pPr>
      <w:rPr>
        <w:rFonts w:hint="default"/>
      </w:rPr>
    </w:lvl>
    <w:lvl w:ilvl="6">
      <w:start w:val="1"/>
      <w:numFmt w:val="bullet"/>
      <w:lvlText w:val="•"/>
      <w:lvlJc w:val="left"/>
      <w:pPr>
        <w:ind w:left="5821" w:hanging="708"/>
      </w:pPr>
      <w:rPr>
        <w:rFonts w:hint="default"/>
      </w:rPr>
    </w:lvl>
    <w:lvl w:ilvl="7">
      <w:start w:val="1"/>
      <w:numFmt w:val="bullet"/>
      <w:lvlText w:val="•"/>
      <w:lvlJc w:val="left"/>
      <w:pPr>
        <w:ind w:left="6677" w:hanging="708"/>
      </w:pPr>
      <w:rPr>
        <w:rFonts w:hint="default"/>
      </w:rPr>
    </w:lvl>
    <w:lvl w:ilvl="8">
      <w:start w:val="1"/>
      <w:numFmt w:val="bullet"/>
      <w:lvlText w:val="•"/>
      <w:lvlJc w:val="left"/>
      <w:pPr>
        <w:ind w:left="7533" w:hanging="708"/>
      </w:pPr>
      <w:rPr>
        <w:rFonts w:hint="default"/>
      </w:rPr>
    </w:lvl>
  </w:abstractNum>
  <w:abstractNum w:abstractNumId="5" w15:restartNumberingAfterBreak="0">
    <w:nsid w:val="0F7777DC"/>
    <w:multiLevelType w:val="hybridMultilevel"/>
    <w:tmpl w:val="1E02BACE"/>
    <w:lvl w:ilvl="0" w:tplc="091A634A">
      <w:start w:val="1"/>
      <w:numFmt w:val="bullet"/>
      <w:lvlText w:val=""/>
      <w:lvlJc w:val="left"/>
      <w:pPr>
        <w:ind w:left="720" w:hanging="360"/>
      </w:pPr>
      <w:rPr>
        <w:rFonts w:ascii="Symbol" w:hAnsi="Symbol" w:hint="default"/>
      </w:rPr>
    </w:lvl>
    <w:lvl w:ilvl="1" w:tplc="6DCA68B8">
      <w:start w:val="1"/>
      <w:numFmt w:val="bullet"/>
      <w:lvlText w:val="o"/>
      <w:lvlJc w:val="left"/>
      <w:pPr>
        <w:ind w:left="1440" w:hanging="360"/>
      </w:pPr>
      <w:rPr>
        <w:rFonts w:ascii="Courier New" w:hAnsi="Courier New" w:hint="default"/>
      </w:rPr>
    </w:lvl>
    <w:lvl w:ilvl="2" w:tplc="CDB2D3CC">
      <w:start w:val="1"/>
      <w:numFmt w:val="bullet"/>
      <w:lvlText w:val=""/>
      <w:lvlJc w:val="left"/>
      <w:pPr>
        <w:ind w:left="1451" w:hanging="360"/>
      </w:pPr>
      <w:rPr>
        <w:rFonts w:ascii="Wingdings" w:hAnsi="Wingdings" w:hint="default"/>
      </w:rPr>
    </w:lvl>
    <w:lvl w:ilvl="3" w:tplc="CB1EC8A2">
      <w:start w:val="1"/>
      <w:numFmt w:val="bullet"/>
      <w:lvlText w:val=""/>
      <w:lvlJc w:val="left"/>
      <w:pPr>
        <w:ind w:left="2171" w:hanging="360"/>
      </w:pPr>
      <w:rPr>
        <w:rFonts w:ascii="Symbol" w:hAnsi="Symbol" w:hint="default"/>
      </w:rPr>
    </w:lvl>
    <w:lvl w:ilvl="4" w:tplc="961C2840">
      <w:start w:val="1"/>
      <w:numFmt w:val="bullet"/>
      <w:lvlText w:val="o"/>
      <w:lvlJc w:val="left"/>
      <w:pPr>
        <w:ind w:left="2891" w:hanging="360"/>
      </w:pPr>
      <w:rPr>
        <w:rFonts w:ascii="Courier New" w:hAnsi="Courier New" w:hint="default"/>
      </w:rPr>
    </w:lvl>
    <w:lvl w:ilvl="5" w:tplc="9D44CCFA">
      <w:start w:val="1"/>
      <w:numFmt w:val="bullet"/>
      <w:lvlText w:val=""/>
      <w:lvlJc w:val="left"/>
      <w:pPr>
        <w:ind w:left="3611" w:hanging="360"/>
      </w:pPr>
      <w:rPr>
        <w:rFonts w:ascii="Wingdings" w:hAnsi="Wingdings" w:hint="default"/>
      </w:rPr>
    </w:lvl>
    <w:lvl w:ilvl="6" w:tplc="440CE63E">
      <w:start w:val="1"/>
      <w:numFmt w:val="bullet"/>
      <w:lvlText w:val=""/>
      <w:lvlJc w:val="left"/>
      <w:pPr>
        <w:ind w:left="4331" w:hanging="360"/>
      </w:pPr>
      <w:rPr>
        <w:rFonts w:ascii="Symbol" w:hAnsi="Symbol" w:hint="default"/>
      </w:rPr>
    </w:lvl>
    <w:lvl w:ilvl="7" w:tplc="7FEA9A34">
      <w:start w:val="1"/>
      <w:numFmt w:val="bullet"/>
      <w:lvlText w:val="o"/>
      <w:lvlJc w:val="left"/>
      <w:pPr>
        <w:ind w:left="5051" w:hanging="360"/>
      </w:pPr>
      <w:rPr>
        <w:rFonts w:ascii="Courier New" w:hAnsi="Courier New" w:hint="default"/>
      </w:rPr>
    </w:lvl>
    <w:lvl w:ilvl="8" w:tplc="52B8CB1E">
      <w:start w:val="1"/>
      <w:numFmt w:val="bullet"/>
      <w:lvlText w:val=""/>
      <w:lvlJc w:val="left"/>
      <w:pPr>
        <w:ind w:left="5771" w:hanging="360"/>
      </w:pPr>
      <w:rPr>
        <w:rFonts w:ascii="Wingdings" w:hAnsi="Wingdings" w:hint="default"/>
      </w:rPr>
    </w:lvl>
  </w:abstractNum>
  <w:abstractNum w:abstractNumId="6" w15:restartNumberingAfterBreak="0">
    <w:nsid w:val="11231B1C"/>
    <w:multiLevelType w:val="hybridMultilevel"/>
    <w:tmpl w:val="EAC4E3AE"/>
    <w:lvl w:ilvl="0" w:tplc="0C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F750DF"/>
    <w:multiLevelType w:val="hybridMultilevel"/>
    <w:tmpl w:val="6186C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641DF2"/>
    <w:multiLevelType w:val="hybridMultilevel"/>
    <w:tmpl w:val="5A106B70"/>
    <w:lvl w:ilvl="0" w:tplc="3BF6DA82">
      <w:start w:val="1"/>
      <w:numFmt w:val="decimal"/>
      <w:pStyle w:val="numberedpara"/>
      <w:lvlText w:val="%1."/>
      <w:lvlJc w:val="right"/>
      <w:pPr>
        <w:tabs>
          <w:tab w:val="num" w:pos="1134"/>
        </w:tabs>
        <w:ind w:left="567" w:hanging="567"/>
      </w:pPr>
      <w:rPr>
        <w:rFonts w:ascii="Arial" w:hAnsi="Arial" w:cs="Arial" w:hint="default"/>
        <w:b w:val="0"/>
        <w:i w:val="0"/>
        <w:color w:val="auto"/>
        <w:sz w:val="22"/>
      </w:rPr>
    </w:lvl>
    <w:lvl w:ilvl="1" w:tplc="0C090003">
      <w:start w:val="1"/>
      <w:numFmt w:val="bullet"/>
      <w:lvlText w:val="o"/>
      <w:lvlJc w:val="left"/>
      <w:pPr>
        <w:tabs>
          <w:tab w:val="num" w:pos="1440"/>
        </w:tabs>
        <w:ind w:left="1440" w:hanging="360"/>
      </w:pPr>
      <w:rPr>
        <w:rFonts w:ascii="Courier New" w:hAnsi="Courier New" w:cs="Courier New" w:hint="default"/>
        <w:b w:val="0"/>
        <w:i w:val="0"/>
        <w:color w:val="auto"/>
        <w:sz w:val="22"/>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rPr>
        <w:rFonts w:hint="default"/>
        <w:b w:val="0"/>
        <w:i w:val="0"/>
        <w:color w:val="auto"/>
        <w:sz w:val="22"/>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6A9195F"/>
    <w:multiLevelType w:val="hybridMultilevel"/>
    <w:tmpl w:val="7CD43192"/>
    <w:lvl w:ilvl="0" w:tplc="19A8C2F4">
      <w:start w:val="1"/>
      <w:numFmt w:val="decimal"/>
      <w:lvlText w:val="6.%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36027A"/>
    <w:multiLevelType w:val="hybridMultilevel"/>
    <w:tmpl w:val="81C83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6A0FBE"/>
    <w:multiLevelType w:val="multilevel"/>
    <w:tmpl w:val="4B42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280DA8"/>
    <w:multiLevelType w:val="multilevel"/>
    <w:tmpl w:val="34DC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FC1418"/>
    <w:multiLevelType w:val="multilevel"/>
    <w:tmpl w:val="1A6E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F7917"/>
    <w:multiLevelType w:val="hybridMultilevel"/>
    <w:tmpl w:val="21B21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57246"/>
    <w:multiLevelType w:val="hybridMultilevel"/>
    <w:tmpl w:val="7406A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CEEE06"/>
    <w:multiLevelType w:val="hybridMultilevel"/>
    <w:tmpl w:val="A1385C46"/>
    <w:lvl w:ilvl="0" w:tplc="40D80232">
      <w:start w:val="1"/>
      <w:numFmt w:val="bullet"/>
      <w:lvlText w:val=""/>
      <w:lvlJc w:val="left"/>
      <w:pPr>
        <w:ind w:left="1429" w:hanging="360"/>
      </w:pPr>
      <w:rPr>
        <w:rFonts w:ascii="Symbol" w:hAnsi="Symbol" w:hint="default"/>
      </w:rPr>
    </w:lvl>
    <w:lvl w:ilvl="1" w:tplc="869ECB36">
      <w:start w:val="1"/>
      <w:numFmt w:val="bullet"/>
      <w:lvlText w:val="o"/>
      <w:lvlJc w:val="left"/>
      <w:pPr>
        <w:ind w:left="1440" w:hanging="360"/>
      </w:pPr>
      <w:rPr>
        <w:rFonts w:ascii="Courier New" w:hAnsi="Courier New" w:hint="default"/>
      </w:rPr>
    </w:lvl>
    <w:lvl w:ilvl="2" w:tplc="80B8B218">
      <w:start w:val="1"/>
      <w:numFmt w:val="bullet"/>
      <w:lvlText w:val=""/>
      <w:lvlJc w:val="left"/>
      <w:pPr>
        <w:ind w:left="2160" w:hanging="360"/>
      </w:pPr>
      <w:rPr>
        <w:rFonts w:ascii="Wingdings" w:hAnsi="Wingdings" w:hint="default"/>
      </w:rPr>
    </w:lvl>
    <w:lvl w:ilvl="3" w:tplc="E5AC968A">
      <w:start w:val="1"/>
      <w:numFmt w:val="bullet"/>
      <w:lvlText w:val=""/>
      <w:lvlJc w:val="left"/>
      <w:pPr>
        <w:ind w:left="2880" w:hanging="360"/>
      </w:pPr>
      <w:rPr>
        <w:rFonts w:ascii="Symbol" w:hAnsi="Symbol" w:hint="default"/>
      </w:rPr>
    </w:lvl>
    <w:lvl w:ilvl="4" w:tplc="D22A2760">
      <w:start w:val="1"/>
      <w:numFmt w:val="bullet"/>
      <w:lvlText w:val="o"/>
      <w:lvlJc w:val="left"/>
      <w:pPr>
        <w:ind w:left="3600" w:hanging="360"/>
      </w:pPr>
      <w:rPr>
        <w:rFonts w:ascii="Courier New" w:hAnsi="Courier New" w:hint="default"/>
      </w:rPr>
    </w:lvl>
    <w:lvl w:ilvl="5" w:tplc="D3EEDC6A">
      <w:start w:val="1"/>
      <w:numFmt w:val="bullet"/>
      <w:lvlText w:val=""/>
      <w:lvlJc w:val="left"/>
      <w:pPr>
        <w:ind w:left="4320" w:hanging="360"/>
      </w:pPr>
      <w:rPr>
        <w:rFonts w:ascii="Wingdings" w:hAnsi="Wingdings" w:hint="default"/>
      </w:rPr>
    </w:lvl>
    <w:lvl w:ilvl="6" w:tplc="4F24B012">
      <w:start w:val="1"/>
      <w:numFmt w:val="bullet"/>
      <w:lvlText w:val=""/>
      <w:lvlJc w:val="left"/>
      <w:pPr>
        <w:ind w:left="5040" w:hanging="360"/>
      </w:pPr>
      <w:rPr>
        <w:rFonts w:ascii="Symbol" w:hAnsi="Symbol" w:hint="default"/>
      </w:rPr>
    </w:lvl>
    <w:lvl w:ilvl="7" w:tplc="1EE45ECE">
      <w:start w:val="1"/>
      <w:numFmt w:val="bullet"/>
      <w:lvlText w:val="o"/>
      <w:lvlJc w:val="left"/>
      <w:pPr>
        <w:ind w:left="5760" w:hanging="360"/>
      </w:pPr>
      <w:rPr>
        <w:rFonts w:ascii="Courier New" w:hAnsi="Courier New" w:hint="default"/>
      </w:rPr>
    </w:lvl>
    <w:lvl w:ilvl="8" w:tplc="6532A060">
      <w:start w:val="1"/>
      <w:numFmt w:val="bullet"/>
      <w:lvlText w:val=""/>
      <w:lvlJc w:val="left"/>
      <w:pPr>
        <w:ind w:left="6480" w:hanging="360"/>
      </w:pPr>
      <w:rPr>
        <w:rFonts w:ascii="Wingdings" w:hAnsi="Wingdings" w:hint="default"/>
      </w:rPr>
    </w:lvl>
  </w:abstractNum>
  <w:abstractNum w:abstractNumId="17" w15:restartNumberingAfterBreak="0">
    <w:nsid w:val="270651C5"/>
    <w:multiLevelType w:val="hybridMultilevel"/>
    <w:tmpl w:val="52C6D8CC"/>
    <w:lvl w:ilvl="0" w:tplc="C26C3DBC">
      <w:start w:val="1"/>
      <w:numFmt w:val="decimal"/>
      <w:lvlText w:val="%1)"/>
      <w:lvlJc w:val="left"/>
      <w:pPr>
        <w:ind w:left="720" w:hanging="360"/>
      </w:pPr>
      <w:rPr>
        <w:rFonts w:ascii="Century Gothic" w:eastAsia="Calibri" w:hAnsi="Century Gothic" w:cs="Calibr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B17DF2"/>
    <w:multiLevelType w:val="hybridMultilevel"/>
    <w:tmpl w:val="E2D24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027D95"/>
    <w:multiLevelType w:val="hybridMultilevel"/>
    <w:tmpl w:val="467EE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EE62B1"/>
    <w:multiLevelType w:val="hybridMultilevel"/>
    <w:tmpl w:val="45D0AA9A"/>
    <w:lvl w:ilvl="0" w:tplc="824E4CA2">
      <w:start w:val="1"/>
      <w:numFmt w:val="decimal"/>
      <w:lvlText w:val="5.%1"/>
      <w:lvlJc w:val="left"/>
      <w:pPr>
        <w:ind w:left="72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F662528"/>
    <w:multiLevelType w:val="hybridMultilevel"/>
    <w:tmpl w:val="35F8F6CE"/>
    <w:lvl w:ilvl="0" w:tplc="0C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5B7792"/>
    <w:multiLevelType w:val="multilevel"/>
    <w:tmpl w:val="F19A4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B07431"/>
    <w:multiLevelType w:val="multilevel"/>
    <w:tmpl w:val="35625B9E"/>
    <w:lvl w:ilvl="0">
      <w:start w:val="1"/>
      <w:numFmt w:val="decimal"/>
      <w:lvlText w:val="%1."/>
      <w:lvlJc w:val="left"/>
      <w:pPr>
        <w:ind w:left="720" w:hanging="360"/>
      </w:pPr>
    </w:lvl>
    <w:lvl w:ilvl="1">
      <w:start w:val="1"/>
      <w:numFmt w:val="decimal"/>
      <w:isLgl/>
      <w:lvlText w:val="%1.%2"/>
      <w:lvlJc w:val="left"/>
      <w:pPr>
        <w:ind w:left="1080" w:hanging="720"/>
      </w:pPr>
      <w:rPr>
        <w:rFonts w:ascii="Century Gothic" w:hAnsi="Century Gothic" w:hint="default"/>
        <w:b/>
        <w:i w:val="0"/>
        <w:color w:val="2F5496" w:themeColor="accent1" w:themeShade="BF"/>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44C32B9A"/>
    <w:multiLevelType w:val="hybridMultilevel"/>
    <w:tmpl w:val="FAC85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087471"/>
    <w:multiLevelType w:val="multilevel"/>
    <w:tmpl w:val="0409001D"/>
    <w:styleLink w:val="Style2"/>
    <w:lvl w:ilvl="0">
      <w:start w:val="1"/>
      <w:numFmt w:val="decimal"/>
      <w:lvlText w:val="%1"/>
      <w:lvlJc w:val="left"/>
      <w:pPr>
        <w:ind w:left="360" w:hanging="360"/>
      </w:pPr>
      <w:rPr>
        <w:rFonts w:ascii="Calibri" w:hAnsi="Calibri" w:hint="default"/>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67A056C"/>
    <w:multiLevelType w:val="multilevel"/>
    <w:tmpl w:val="7FD20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D37602"/>
    <w:multiLevelType w:val="hybridMultilevel"/>
    <w:tmpl w:val="E9FE5EFE"/>
    <w:lvl w:ilvl="0" w:tplc="91CCC5A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D40372"/>
    <w:multiLevelType w:val="hybridMultilevel"/>
    <w:tmpl w:val="C7CA43F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30" w15:restartNumberingAfterBreak="0">
    <w:nsid w:val="4E6A0748"/>
    <w:multiLevelType w:val="hybridMultilevel"/>
    <w:tmpl w:val="47A4EF36"/>
    <w:lvl w:ilvl="0" w:tplc="0C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C352FE"/>
    <w:multiLevelType w:val="hybridMultilevel"/>
    <w:tmpl w:val="4A528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A4EFF3B"/>
    <w:multiLevelType w:val="hybridMultilevel"/>
    <w:tmpl w:val="F27663BA"/>
    <w:lvl w:ilvl="0" w:tplc="3468C650">
      <w:start w:val="1"/>
      <w:numFmt w:val="bullet"/>
      <w:lvlText w:val=""/>
      <w:lvlJc w:val="left"/>
      <w:pPr>
        <w:ind w:left="1429" w:hanging="360"/>
      </w:pPr>
      <w:rPr>
        <w:rFonts w:ascii="Symbol" w:hAnsi="Symbol" w:hint="default"/>
      </w:rPr>
    </w:lvl>
    <w:lvl w:ilvl="1" w:tplc="901877CC">
      <w:start w:val="1"/>
      <w:numFmt w:val="bullet"/>
      <w:lvlText w:val="o"/>
      <w:lvlJc w:val="left"/>
      <w:pPr>
        <w:ind w:left="1440" w:hanging="360"/>
      </w:pPr>
      <w:rPr>
        <w:rFonts w:ascii="Courier New" w:hAnsi="Courier New" w:hint="default"/>
      </w:rPr>
    </w:lvl>
    <w:lvl w:ilvl="2" w:tplc="3932C276">
      <w:start w:val="1"/>
      <w:numFmt w:val="bullet"/>
      <w:lvlText w:val=""/>
      <w:lvlJc w:val="left"/>
      <w:pPr>
        <w:ind w:left="2160" w:hanging="360"/>
      </w:pPr>
      <w:rPr>
        <w:rFonts w:ascii="Wingdings" w:hAnsi="Wingdings" w:hint="default"/>
      </w:rPr>
    </w:lvl>
    <w:lvl w:ilvl="3" w:tplc="BD38C440">
      <w:start w:val="1"/>
      <w:numFmt w:val="bullet"/>
      <w:lvlText w:val=""/>
      <w:lvlJc w:val="left"/>
      <w:pPr>
        <w:ind w:left="2880" w:hanging="360"/>
      </w:pPr>
      <w:rPr>
        <w:rFonts w:ascii="Symbol" w:hAnsi="Symbol" w:hint="default"/>
      </w:rPr>
    </w:lvl>
    <w:lvl w:ilvl="4" w:tplc="65AE2060">
      <w:start w:val="1"/>
      <w:numFmt w:val="bullet"/>
      <w:lvlText w:val="o"/>
      <w:lvlJc w:val="left"/>
      <w:pPr>
        <w:ind w:left="3600" w:hanging="360"/>
      </w:pPr>
      <w:rPr>
        <w:rFonts w:ascii="Courier New" w:hAnsi="Courier New" w:hint="default"/>
      </w:rPr>
    </w:lvl>
    <w:lvl w:ilvl="5" w:tplc="4E0EC8D0">
      <w:start w:val="1"/>
      <w:numFmt w:val="bullet"/>
      <w:lvlText w:val=""/>
      <w:lvlJc w:val="left"/>
      <w:pPr>
        <w:ind w:left="4320" w:hanging="360"/>
      </w:pPr>
      <w:rPr>
        <w:rFonts w:ascii="Wingdings" w:hAnsi="Wingdings" w:hint="default"/>
      </w:rPr>
    </w:lvl>
    <w:lvl w:ilvl="6" w:tplc="829075EA">
      <w:start w:val="1"/>
      <w:numFmt w:val="bullet"/>
      <w:lvlText w:val=""/>
      <w:lvlJc w:val="left"/>
      <w:pPr>
        <w:ind w:left="5040" w:hanging="360"/>
      </w:pPr>
      <w:rPr>
        <w:rFonts w:ascii="Symbol" w:hAnsi="Symbol" w:hint="default"/>
      </w:rPr>
    </w:lvl>
    <w:lvl w:ilvl="7" w:tplc="F0EC2850">
      <w:start w:val="1"/>
      <w:numFmt w:val="bullet"/>
      <w:lvlText w:val="o"/>
      <w:lvlJc w:val="left"/>
      <w:pPr>
        <w:ind w:left="5760" w:hanging="360"/>
      </w:pPr>
      <w:rPr>
        <w:rFonts w:ascii="Courier New" w:hAnsi="Courier New" w:hint="default"/>
      </w:rPr>
    </w:lvl>
    <w:lvl w:ilvl="8" w:tplc="F4ECCA9C">
      <w:start w:val="1"/>
      <w:numFmt w:val="bullet"/>
      <w:lvlText w:val=""/>
      <w:lvlJc w:val="left"/>
      <w:pPr>
        <w:ind w:left="6480" w:hanging="360"/>
      </w:pPr>
      <w:rPr>
        <w:rFonts w:ascii="Wingdings" w:hAnsi="Wingdings" w:hint="default"/>
      </w:rPr>
    </w:lvl>
  </w:abstractNum>
  <w:abstractNum w:abstractNumId="33" w15:restartNumberingAfterBreak="0">
    <w:nsid w:val="5C5732D9"/>
    <w:multiLevelType w:val="hybridMultilevel"/>
    <w:tmpl w:val="E25A2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C7C32FB"/>
    <w:multiLevelType w:val="hybridMultilevel"/>
    <w:tmpl w:val="7A0CAF1A"/>
    <w:lvl w:ilvl="0" w:tplc="FE3875E0">
      <w:start w:val="1"/>
      <w:numFmt w:val="decimal"/>
      <w:lvlText w:val="%1."/>
      <w:lvlJc w:val="left"/>
      <w:pPr>
        <w:ind w:left="720" w:hanging="360"/>
      </w:pPr>
    </w:lvl>
    <w:lvl w:ilvl="1" w:tplc="85EE7DBC">
      <w:start w:val="1"/>
      <w:numFmt w:val="lowerLetter"/>
      <w:lvlText w:val="%2."/>
      <w:lvlJc w:val="left"/>
      <w:pPr>
        <w:ind w:left="1440" w:hanging="360"/>
      </w:pPr>
    </w:lvl>
    <w:lvl w:ilvl="2" w:tplc="29004F1A">
      <w:start w:val="1"/>
      <w:numFmt w:val="lowerRoman"/>
      <w:lvlText w:val="%3."/>
      <w:lvlJc w:val="right"/>
      <w:pPr>
        <w:ind w:left="2160" w:hanging="180"/>
      </w:pPr>
    </w:lvl>
    <w:lvl w:ilvl="3" w:tplc="1E924700">
      <w:start w:val="1"/>
      <w:numFmt w:val="decimal"/>
      <w:lvlText w:val="%4."/>
      <w:lvlJc w:val="left"/>
      <w:pPr>
        <w:ind w:left="2880" w:hanging="360"/>
      </w:pPr>
    </w:lvl>
    <w:lvl w:ilvl="4" w:tplc="540CEB1E">
      <w:start w:val="1"/>
      <w:numFmt w:val="lowerLetter"/>
      <w:lvlText w:val="%5."/>
      <w:lvlJc w:val="left"/>
      <w:pPr>
        <w:ind w:left="3600" w:hanging="360"/>
      </w:pPr>
    </w:lvl>
    <w:lvl w:ilvl="5" w:tplc="96E41DD0">
      <w:start w:val="1"/>
      <w:numFmt w:val="lowerRoman"/>
      <w:lvlText w:val="%6."/>
      <w:lvlJc w:val="right"/>
      <w:pPr>
        <w:ind w:left="4320" w:hanging="180"/>
      </w:pPr>
    </w:lvl>
    <w:lvl w:ilvl="6" w:tplc="2DA2280A">
      <w:start w:val="1"/>
      <w:numFmt w:val="decimal"/>
      <w:lvlText w:val="%7."/>
      <w:lvlJc w:val="left"/>
      <w:pPr>
        <w:ind w:left="5040" w:hanging="360"/>
      </w:pPr>
    </w:lvl>
    <w:lvl w:ilvl="7" w:tplc="705264FC">
      <w:start w:val="1"/>
      <w:numFmt w:val="lowerLetter"/>
      <w:lvlText w:val="%8."/>
      <w:lvlJc w:val="left"/>
      <w:pPr>
        <w:ind w:left="5760" w:hanging="360"/>
      </w:pPr>
    </w:lvl>
    <w:lvl w:ilvl="8" w:tplc="71FE9ACC">
      <w:start w:val="1"/>
      <w:numFmt w:val="lowerRoman"/>
      <w:lvlText w:val="%9."/>
      <w:lvlJc w:val="right"/>
      <w:pPr>
        <w:ind w:left="6480" w:hanging="180"/>
      </w:pPr>
    </w:lvl>
  </w:abstractNum>
  <w:abstractNum w:abstractNumId="35" w15:restartNumberingAfterBreak="0">
    <w:nsid w:val="5F17503D"/>
    <w:multiLevelType w:val="hybridMultilevel"/>
    <w:tmpl w:val="0E16A0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4618F1A"/>
    <w:multiLevelType w:val="multilevel"/>
    <w:tmpl w:val="758CF1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0060FF"/>
    <w:multiLevelType w:val="hybridMultilevel"/>
    <w:tmpl w:val="5DB09452"/>
    <w:lvl w:ilvl="0" w:tplc="E67834C2">
      <w:start w:val="1"/>
      <w:numFmt w:val="decimal"/>
      <w:pStyle w:val="bulletnumbered"/>
      <w:lvlText w:val="%1."/>
      <w:lvlJc w:val="left"/>
      <w:pPr>
        <w:tabs>
          <w:tab w:val="num" w:pos="284"/>
        </w:tabs>
        <w:ind w:left="284" w:hanging="284"/>
      </w:pPr>
      <w:rPr>
        <w:rFonts w:hint="default"/>
        <w:b w:val="0"/>
        <w:i w:val="0"/>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335BE3"/>
    <w:multiLevelType w:val="multilevel"/>
    <w:tmpl w:val="13B8DFDE"/>
    <w:lvl w:ilvl="0">
      <w:start w:val="4"/>
      <w:numFmt w:val="decimal"/>
      <w:lvlText w:val="%1"/>
      <w:lvlJc w:val="left"/>
      <w:pPr>
        <w:ind w:left="808" w:hanging="708"/>
      </w:pPr>
      <w:rPr>
        <w:rFonts w:hint="default"/>
      </w:rPr>
    </w:lvl>
    <w:lvl w:ilvl="1">
      <w:start w:val="3"/>
      <w:numFmt w:val="decimal"/>
      <w:lvlText w:val="%1.%2"/>
      <w:lvlJc w:val="left"/>
      <w:pPr>
        <w:ind w:left="808" w:hanging="708"/>
      </w:pPr>
      <w:rPr>
        <w:rFonts w:ascii="Calibri" w:eastAsia="Calibri" w:hAnsi="Calibri" w:hint="default"/>
        <w:sz w:val="22"/>
        <w:szCs w:val="22"/>
      </w:rPr>
    </w:lvl>
    <w:lvl w:ilvl="2">
      <w:start w:val="1"/>
      <w:numFmt w:val="decimal"/>
      <w:lvlText w:val="%1.%2.%3"/>
      <w:lvlJc w:val="left"/>
      <w:pPr>
        <w:ind w:left="1540" w:hanging="732"/>
      </w:pPr>
      <w:rPr>
        <w:rFonts w:ascii="Calibri" w:eastAsia="Calibri" w:hAnsi="Calibri" w:hint="default"/>
        <w:sz w:val="22"/>
        <w:szCs w:val="22"/>
      </w:rPr>
    </w:lvl>
    <w:lvl w:ilvl="3">
      <w:start w:val="1"/>
      <w:numFmt w:val="bullet"/>
      <w:lvlText w:val="•"/>
      <w:lvlJc w:val="left"/>
      <w:pPr>
        <w:ind w:left="3252" w:hanging="732"/>
      </w:pPr>
      <w:rPr>
        <w:rFonts w:hint="default"/>
      </w:rPr>
    </w:lvl>
    <w:lvl w:ilvl="4">
      <w:start w:val="1"/>
      <w:numFmt w:val="bullet"/>
      <w:lvlText w:val="•"/>
      <w:lvlJc w:val="left"/>
      <w:pPr>
        <w:ind w:left="4109" w:hanging="732"/>
      </w:pPr>
      <w:rPr>
        <w:rFonts w:hint="default"/>
      </w:rPr>
    </w:lvl>
    <w:lvl w:ilvl="5">
      <w:start w:val="1"/>
      <w:numFmt w:val="bullet"/>
      <w:lvlText w:val="•"/>
      <w:lvlJc w:val="left"/>
      <w:pPr>
        <w:ind w:left="4965" w:hanging="732"/>
      </w:pPr>
      <w:rPr>
        <w:rFonts w:hint="default"/>
      </w:rPr>
    </w:lvl>
    <w:lvl w:ilvl="6">
      <w:start w:val="1"/>
      <w:numFmt w:val="bullet"/>
      <w:lvlText w:val="•"/>
      <w:lvlJc w:val="left"/>
      <w:pPr>
        <w:ind w:left="5821" w:hanging="732"/>
      </w:pPr>
      <w:rPr>
        <w:rFonts w:hint="default"/>
      </w:rPr>
    </w:lvl>
    <w:lvl w:ilvl="7">
      <w:start w:val="1"/>
      <w:numFmt w:val="bullet"/>
      <w:lvlText w:val="•"/>
      <w:lvlJc w:val="left"/>
      <w:pPr>
        <w:ind w:left="6677" w:hanging="732"/>
      </w:pPr>
      <w:rPr>
        <w:rFonts w:hint="default"/>
      </w:rPr>
    </w:lvl>
    <w:lvl w:ilvl="8">
      <w:start w:val="1"/>
      <w:numFmt w:val="bullet"/>
      <w:lvlText w:val="•"/>
      <w:lvlJc w:val="left"/>
      <w:pPr>
        <w:ind w:left="7533" w:hanging="732"/>
      </w:pPr>
      <w:rPr>
        <w:rFonts w:hint="default"/>
      </w:rPr>
    </w:lvl>
  </w:abstractNum>
  <w:abstractNum w:abstractNumId="39" w15:restartNumberingAfterBreak="0">
    <w:nsid w:val="6E381FA3"/>
    <w:multiLevelType w:val="hybridMultilevel"/>
    <w:tmpl w:val="F61C2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8F516C6"/>
    <w:multiLevelType w:val="hybridMultilevel"/>
    <w:tmpl w:val="9EEC6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B386BC1"/>
    <w:multiLevelType w:val="hybridMultilevel"/>
    <w:tmpl w:val="30FC9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675E5C"/>
    <w:multiLevelType w:val="multilevel"/>
    <w:tmpl w:val="58BCC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FBA4A00"/>
    <w:multiLevelType w:val="hybridMultilevel"/>
    <w:tmpl w:val="3A6498B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91723645">
    <w:abstractNumId w:val="34"/>
  </w:num>
  <w:num w:numId="2" w16cid:durableId="425078124">
    <w:abstractNumId w:val="5"/>
  </w:num>
  <w:num w:numId="3" w16cid:durableId="1077508571">
    <w:abstractNumId w:val="36"/>
  </w:num>
  <w:num w:numId="4" w16cid:durableId="395207702">
    <w:abstractNumId w:val="16"/>
  </w:num>
  <w:num w:numId="5" w16cid:durableId="303706073">
    <w:abstractNumId w:val="32"/>
  </w:num>
  <w:num w:numId="6" w16cid:durableId="542249068">
    <w:abstractNumId w:val="25"/>
  </w:num>
  <w:num w:numId="7" w16cid:durableId="233659522">
    <w:abstractNumId w:val="29"/>
  </w:num>
  <w:num w:numId="8" w16cid:durableId="1110054215">
    <w:abstractNumId w:val="8"/>
  </w:num>
  <w:num w:numId="9" w16cid:durableId="1899588165">
    <w:abstractNumId w:val="37"/>
  </w:num>
  <w:num w:numId="10" w16cid:durableId="1262104429">
    <w:abstractNumId w:val="3"/>
  </w:num>
  <w:num w:numId="11" w16cid:durableId="1214200454">
    <w:abstractNumId w:val="23"/>
  </w:num>
  <w:num w:numId="12" w16cid:durableId="1806312790">
    <w:abstractNumId w:val="17"/>
  </w:num>
  <w:num w:numId="13" w16cid:durableId="303124806">
    <w:abstractNumId w:val="20"/>
  </w:num>
  <w:num w:numId="14" w16cid:durableId="1893691141">
    <w:abstractNumId w:val="28"/>
  </w:num>
  <w:num w:numId="15" w16cid:durableId="1634750597">
    <w:abstractNumId w:val="21"/>
  </w:num>
  <w:num w:numId="16" w16cid:durableId="1413426418">
    <w:abstractNumId w:val="6"/>
  </w:num>
  <w:num w:numId="17" w16cid:durableId="1348602805">
    <w:abstractNumId w:val="30"/>
  </w:num>
  <w:num w:numId="18" w16cid:durableId="1669946593">
    <w:abstractNumId w:val="27"/>
  </w:num>
  <w:num w:numId="19" w16cid:durableId="1873766166">
    <w:abstractNumId w:val="9"/>
  </w:num>
  <w:num w:numId="20" w16cid:durableId="830564317">
    <w:abstractNumId w:val="40"/>
  </w:num>
  <w:num w:numId="21" w16cid:durableId="274756459">
    <w:abstractNumId w:val="43"/>
  </w:num>
  <w:num w:numId="22" w16cid:durableId="1682392117">
    <w:abstractNumId w:val="38"/>
  </w:num>
  <w:num w:numId="23" w16cid:durableId="369108930">
    <w:abstractNumId w:val="4"/>
  </w:num>
  <w:num w:numId="24" w16cid:durableId="1870141027">
    <w:abstractNumId w:val="10"/>
  </w:num>
  <w:num w:numId="25" w16cid:durableId="1769766513">
    <w:abstractNumId w:val="39"/>
  </w:num>
  <w:num w:numId="26" w16cid:durableId="743181495">
    <w:abstractNumId w:val="15"/>
  </w:num>
  <w:num w:numId="27" w16cid:durableId="2110000607">
    <w:abstractNumId w:val="1"/>
  </w:num>
  <w:num w:numId="28" w16cid:durableId="1369644741">
    <w:abstractNumId w:val="31"/>
  </w:num>
  <w:num w:numId="29" w16cid:durableId="198444764">
    <w:abstractNumId w:val="33"/>
  </w:num>
  <w:num w:numId="30" w16cid:durableId="1464496290">
    <w:abstractNumId w:val="7"/>
  </w:num>
  <w:num w:numId="31" w16cid:durableId="779837553">
    <w:abstractNumId w:val="0"/>
  </w:num>
  <w:num w:numId="32" w16cid:durableId="1942646155">
    <w:abstractNumId w:val="18"/>
  </w:num>
  <w:num w:numId="33" w16cid:durableId="770854588">
    <w:abstractNumId w:val="14"/>
  </w:num>
  <w:num w:numId="34" w16cid:durableId="284390331">
    <w:abstractNumId w:val="24"/>
  </w:num>
  <w:num w:numId="35" w16cid:durableId="716709683">
    <w:abstractNumId w:val="35"/>
  </w:num>
  <w:num w:numId="36" w16cid:durableId="1374303081">
    <w:abstractNumId w:val="19"/>
  </w:num>
  <w:num w:numId="37" w16cid:durableId="436098091">
    <w:abstractNumId w:val="42"/>
  </w:num>
  <w:num w:numId="38" w16cid:durableId="2137992246">
    <w:abstractNumId w:val="26"/>
  </w:num>
  <w:num w:numId="39" w16cid:durableId="632716825">
    <w:abstractNumId w:val="12"/>
  </w:num>
  <w:num w:numId="40" w16cid:durableId="1206989006">
    <w:abstractNumId w:val="2"/>
  </w:num>
  <w:num w:numId="41" w16cid:durableId="1997144448">
    <w:abstractNumId w:val="11"/>
  </w:num>
  <w:num w:numId="42" w16cid:durableId="1489633393">
    <w:abstractNumId w:val="13"/>
  </w:num>
  <w:num w:numId="43" w16cid:durableId="701370281">
    <w:abstractNumId w:val="22"/>
  </w:num>
  <w:num w:numId="44" w16cid:durableId="1054039109">
    <w:abstractNumId w:val="4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US" w:vendorID="64" w:dllVersion="4096" w:nlCheck="1" w:checkStyle="0"/>
  <w:activeWritingStyle w:appName="MSWord" w:lang="en-AU" w:vendorID="64" w:dllVersion="4096" w:nlCheck="1" w:checkStyle="0"/>
  <w:proofState w:spelling="clean" w:grammar="clean"/>
  <w:documentProtection w:edit="readOnly" w:formatting="1"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CAB"/>
    <w:rsid w:val="00001020"/>
    <w:rsid w:val="00012731"/>
    <w:rsid w:val="00015562"/>
    <w:rsid w:val="00020FAB"/>
    <w:rsid w:val="00036D1F"/>
    <w:rsid w:val="00041AF2"/>
    <w:rsid w:val="00050A68"/>
    <w:rsid w:val="00052046"/>
    <w:rsid w:val="00052A2B"/>
    <w:rsid w:val="000618AF"/>
    <w:rsid w:val="000635DC"/>
    <w:rsid w:val="000655DA"/>
    <w:rsid w:val="0007018D"/>
    <w:rsid w:val="00073DE8"/>
    <w:rsid w:val="00077536"/>
    <w:rsid w:val="00082494"/>
    <w:rsid w:val="00087954"/>
    <w:rsid w:val="000A2E10"/>
    <w:rsid w:val="000B3760"/>
    <w:rsid w:val="000B6230"/>
    <w:rsid w:val="000C6051"/>
    <w:rsid w:val="000C6A16"/>
    <w:rsid w:val="000D3E52"/>
    <w:rsid w:val="000D54B4"/>
    <w:rsid w:val="000D5D51"/>
    <w:rsid w:val="000D76FF"/>
    <w:rsid w:val="000F092B"/>
    <w:rsid w:val="000F4545"/>
    <w:rsid w:val="0010159E"/>
    <w:rsid w:val="001019DA"/>
    <w:rsid w:val="00102EB2"/>
    <w:rsid w:val="001032C3"/>
    <w:rsid w:val="00103FD6"/>
    <w:rsid w:val="0010756A"/>
    <w:rsid w:val="00116193"/>
    <w:rsid w:val="00120D4F"/>
    <w:rsid w:val="0012165F"/>
    <w:rsid w:val="00123745"/>
    <w:rsid w:val="00130570"/>
    <w:rsid w:val="00132B06"/>
    <w:rsid w:val="00132E3C"/>
    <w:rsid w:val="0013527A"/>
    <w:rsid w:val="001370C4"/>
    <w:rsid w:val="00137845"/>
    <w:rsid w:val="00143B19"/>
    <w:rsid w:val="001457E1"/>
    <w:rsid w:val="00151CEA"/>
    <w:rsid w:val="00151F6E"/>
    <w:rsid w:val="00157415"/>
    <w:rsid w:val="00157BC0"/>
    <w:rsid w:val="00163FB9"/>
    <w:rsid w:val="0016503A"/>
    <w:rsid w:val="001653D3"/>
    <w:rsid w:val="001657DD"/>
    <w:rsid w:val="00173588"/>
    <w:rsid w:val="00175A3A"/>
    <w:rsid w:val="00182A64"/>
    <w:rsid w:val="001849C3"/>
    <w:rsid w:val="00187ABC"/>
    <w:rsid w:val="00193276"/>
    <w:rsid w:val="001A0350"/>
    <w:rsid w:val="001A5220"/>
    <w:rsid w:val="001B0606"/>
    <w:rsid w:val="001C06D4"/>
    <w:rsid w:val="001C5350"/>
    <w:rsid w:val="001C5AA8"/>
    <w:rsid w:val="001D0825"/>
    <w:rsid w:val="001D2411"/>
    <w:rsid w:val="001E06A6"/>
    <w:rsid w:val="001E5074"/>
    <w:rsid w:val="001E7E9E"/>
    <w:rsid w:val="001F1542"/>
    <w:rsid w:val="0020388C"/>
    <w:rsid w:val="00212BF8"/>
    <w:rsid w:val="00222AAF"/>
    <w:rsid w:val="00240D83"/>
    <w:rsid w:val="00244A64"/>
    <w:rsid w:val="00251360"/>
    <w:rsid w:val="00251D84"/>
    <w:rsid w:val="00252EFA"/>
    <w:rsid w:val="002542B2"/>
    <w:rsid w:val="00256EF9"/>
    <w:rsid w:val="00261CBC"/>
    <w:rsid w:val="00272732"/>
    <w:rsid w:val="00274307"/>
    <w:rsid w:val="002751BF"/>
    <w:rsid w:val="0027648D"/>
    <w:rsid w:val="00276543"/>
    <w:rsid w:val="00283B45"/>
    <w:rsid w:val="00285DFB"/>
    <w:rsid w:val="002868B7"/>
    <w:rsid w:val="002874B7"/>
    <w:rsid w:val="00294587"/>
    <w:rsid w:val="00297718"/>
    <w:rsid w:val="002A46AA"/>
    <w:rsid w:val="002A67B0"/>
    <w:rsid w:val="002B2FC6"/>
    <w:rsid w:val="002B6F64"/>
    <w:rsid w:val="002B79B1"/>
    <w:rsid w:val="002C1E3A"/>
    <w:rsid w:val="002C4819"/>
    <w:rsid w:val="002C4EC3"/>
    <w:rsid w:val="002C5708"/>
    <w:rsid w:val="002C73C5"/>
    <w:rsid w:val="002C7C15"/>
    <w:rsid w:val="002D08B3"/>
    <w:rsid w:val="002E1A7B"/>
    <w:rsid w:val="002E3AB5"/>
    <w:rsid w:val="002E4DBD"/>
    <w:rsid w:val="002F2C8E"/>
    <w:rsid w:val="002F406B"/>
    <w:rsid w:val="002F79C6"/>
    <w:rsid w:val="0030078C"/>
    <w:rsid w:val="00301C31"/>
    <w:rsid w:val="003057D0"/>
    <w:rsid w:val="00310EBA"/>
    <w:rsid w:val="00317FE7"/>
    <w:rsid w:val="00321439"/>
    <w:rsid w:val="0032364E"/>
    <w:rsid w:val="00326BB5"/>
    <w:rsid w:val="00330954"/>
    <w:rsid w:val="00331250"/>
    <w:rsid w:val="00336085"/>
    <w:rsid w:val="003372A9"/>
    <w:rsid w:val="00345C4C"/>
    <w:rsid w:val="00353113"/>
    <w:rsid w:val="00353F1A"/>
    <w:rsid w:val="0035417F"/>
    <w:rsid w:val="00356E0F"/>
    <w:rsid w:val="003620F7"/>
    <w:rsid w:val="00362BDA"/>
    <w:rsid w:val="0037157F"/>
    <w:rsid w:val="0037555A"/>
    <w:rsid w:val="00381C91"/>
    <w:rsid w:val="00383C45"/>
    <w:rsid w:val="003864AB"/>
    <w:rsid w:val="003A72E6"/>
    <w:rsid w:val="003B41E7"/>
    <w:rsid w:val="003B484E"/>
    <w:rsid w:val="003B5432"/>
    <w:rsid w:val="003C2802"/>
    <w:rsid w:val="003C7123"/>
    <w:rsid w:val="003D0129"/>
    <w:rsid w:val="003D0501"/>
    <w:rsid w:val="003D0A44"/>
    <w:rsid w:val="003D370F"/>
    <w:rsid w:val="003F4E11"/>
    <w:rsid w:val="003F5BA4"/>
    <w:rsid w:val="003FDB42"/>
    <w:rsid w:val="00401647"/>
    <w:rsid w:val="00405913"/>
    <w:rsid w:val="00416541"/>
    <w:rsid w:val="0041689E"/>
    <w:rsid w:val="004168B8"/>
    <w:rsid w:val="00421D3A"/>
    <w:rsid w:val="00423CCE"/>
    <w:rsid w:val="004253FB"/>
    <w:rsid w:val="00427CA1"/>
    <w:rsid w:val="00430E07"/>
    <w:rsid w:val="00441219"/>
    <w:rsid w:val="00442F38"/>
    <w:rsid w:val="00443391"/>
    <w:rsid w:val="00445199"/>
    <w:rsid w:val="004607DE"/>
    <w:rsid w:val="00464641"/>
    <w:rsid w:val="00471A86"/>
    <w:rsid w:val="004740E5"/>
    <w:rsid w:val="0047734B"/>
    <w:rsid w:val="00480191"/>
    <w:rsid w:val="004816F8"/>
    <w:rsid w:val="00483609"/>
    <w:rsid w:val="004839D4"/>
    <w:rsid w:val="0048478D"/>
    <w:rsid w:val="004914CA"/>
    <w:rsid w:val="00491DEE"/>
    <w:rsid w:val="0049396E"/>
    <w:rsid w:val="004A0053"/>
    <w:rsid w:val="004A245F"/>
    <w:rsid w:val="004A6002"/>
    <w:rsid w:val="004B6CFE"/>
    <w:rsid w:val="004C13B1"/>
    <w:rsid w:val="004C2A59"/>
    <w:rsid w:val="004C3ACE"/>
    <w:rsid w:val="004C4629"/>
    <w:rsid w:val="004C5F29"/>
    <w:rsid w:val="004D081B"/>
    <w:rsid w:val="004D0C1F"/>
    <w:rsid w:val="004D733C"/>
    <w:rsid w:val="00501E9B"/>
    <w:rsid w:val="0050489B"/>
    <w:rsid w:val="00505104"/>
    <w:rsid w:val="0050680D"/>
    <w:rsid w:val="00515701"/>
    <w:rsid w:val="00516820"/>
    <w:rsid w:val="00517179"/>
    <w:rsid w:val="00517BA3"/>
    <w:rsid w:val="00520C74"/>
    <w:rsid w:val="00521A03"/>
    <w:rsid w:val="00524157"/>
    <w:rsid w:val="005306E9"/>
    <w:rsid w:val="00530F69"/>
    <w:rsid w:val="00531318"/>
    <w:rsid w:val="0053185F"/>
    <w:rsid w:val="005324DE"/>
    <w:rsid w:val="0053496E"/>
    <w:rsid w:val="005349F8"/>
    <w:rsid w:val="00541F7E"/>
    <w:rsid w:val="00551D9B"/>
    <w:rsid w:val="005548D4"/>
    <w:rsid w:val="005633D8"/>
    <w:rsid w:val="005663E5"/>
    <w:rsid w:val="00567298"/>
    <w:rsid w:val="005707E7"/>
    <w:rsid w:val="005759B4"/>
    <w:rsid w:val="00575DB5"/>
    <w:rsid w:val="00582E68"/>
    <w:rsid w:val="005A487F"/>
    <w:rsid w:val="005A7186"/>
    <w:rsid w:val="005A73ED"/>
    <w:rsid w:val="005A7F99"/>
    <w:rsid w:val="005B1784"/>
    <w:rsid w:val="005B6851"/>
    <w:rsid w:val="005D0F18"/>
    <w:rsid w:val="005D2F95"/>
    <w:rsid w:val="005D3858"/>
    <w:rsid w:val="005D4446"/>
    <w:rsid w:val="005E26A1"/>
    <w:rsid w:val="005E4CD0"/>
    <w:rsid w:val="005E74D1"/>
    <w:rsid w:val="005F4675"/>
    <w:rsid w:val="005F611C"/>
    <w:rsid w:val="005F7623"/>
    <w:rsid w:val="006007A4"/>
    <w:rsid w:val="00602267"/>
    <w:rsid w:val="00604C73"/>
    <w:rsid w:val="00606631"/>
    <w:rsid w:val="00606B85"/>
    <w:rsid w:val="00613B7A"/>
    <w:rsid w:val="0061445B"/>
    <w:rsid w:val="00617133"/>
    <w:rsid w:val="006252C2"/>
    <w:rsid w:val="00635C5C"/>
    <w:rsid w:val="006555E5"/>
    <w:rsid w:val="0065656F"/>
    <w:rsid w:val="0066425F"/>
    <w:rsid w:val="006655D0"/>
    <w:rsid w:val="006670DE"/>
    <w:rsid w:val="0067401F"/>
    <w:rsid w:val="00676BEF"/>
    <w:rsid w:val="006776E4"/>
    <w:rsid w:val="006801D4"/>
    <w:rsid w:val="00681549"/>
    <w:rsid w:val="00681B8B"/>
    <w:rsid w:val="006827E4"/>
    <w:rsid w:val="006829AD"/>
    <w:rsid w:val="00690670"/>
    <w:rsid w:val="00690AB4"/>
    <w:rsid w:val="00692ADA"/>
    <w:rsid w:val="00694108"/>
    <w:rsid w:val="00696FC5"/>
    <w:rsid w:val="00697883"/>
    <w:rsid w:val="006A04B6"/>
    <w:rsid w:val="006A593E"/>
    <w:rsid w:val="006A5A73"/>
    <w:rsid w:val="006A76E6"/>
    <w:rsid w:val="006B1144"/>
    <w:rsid w:val="006B115A"/>
    <w:rsid w:val="006C4D1E"/>
    <w:rsid w:val="006C5FCA"/>
    <w:rsid w:val="006D3133"/>
    <w:rsid w:val="006D4FF0"/>
    <w:rsid w:val="006D68A8"/>
    <w:rsid w:val="006E0890"/>
    <w:rsid w:val="006E19A3"/>
    <w:rsid w:val="006E24DC"/>
    <w:rsid w:val="006E49AE"/>
    <w:rsid w:val="006E6496"/>
    <w:rsid w:val="006E6B95"/>
    <w:rsid w:val="006F0178"/>
    <w:rsid w:val="006F6C96"/>
    <w:rsid w:val="007038EC"/>
    <w:rsid w:val="007125CA"/>
    <w:rsid w:val="00717F77"/>
    <w:rsid w:val="00720F48"/>
    <w:rsid w:val="0072274E"/>
    <w:rsid w:val="00723D0C"/>
    <w:rsid w:val="00724163"/>
    <w:rsid w:val="00725EE4"/>
    <w:rsid w:val="00727E01"/>
    <w:rsid w:val="007313AE"/>
    <w:rsid w:val="007317DE"/>
    <w:rsid w:val="007336DB"/>
    <w:rsid w:val="00733C29"/>
    <w:rsid w:val="00733C79"/>
    <w:rsid w:val="00734B9B"/>
    <w:rsid w:val="0074391E"/>
    <w:rsid w:val="0074437A"/>
    <w:rsid w:val="00746304"/>
    <w:rsid w:val="0074656F"/>
    <w:rsid w:val="007469A5"/>
    <w:rsid w:val="00751493"/>
    <w:rsid w:val="00753AB8"/>
    <w:rsid w:val="00753C4A"/>
    <w:rsid w:val="00756B0C"/>
    <w:rsid w:val="0077257E"/>
    <w:rsid w:val="00776222"/>
    <w:rsid w:val="007812D3"/>
    <w:rsid w:val="00783161"/>
    <w:rsid w:val="007833F3"/>
    <w:rsid w:val="007913B5"/>
    <w:rsid w:val="007A0B28"/>
    <w:rsid w:val="007B1BCD"/>
    <w:rsid w:val="007B1C90"/>
    <w:rsid w:val="007B34AB"/>
    <w:rsid w:val="007C43E5"/>
    <w:rsid w:val="007C79C2"/>
    <w:rsid w:val="007D001A"/>
    <w:rsid w:val="007D16F7"/>
    <w:rsid w:val="007D2A15"/>
    <w:rsid w:val="007D2DB5"/>
    <w:rsid w:val="007D3CDA"/>
    <w:rsid w:val="007D3F10"/>
    <w:rsid w:val="007E19BD"/>
    <w:rsid w:val="007E45BD"/>
    <w:rsid w:val="007E49E0"/>
    <w:rsid w:val="007E49F0"/>
    <w:rsid w:val="007E6029"/>
    <w:rsid w:val="007F31D1"/>
    <w:rsid w:val="007F4386"/>
    <w:rsid w:val="007F5D18"/>
    <w:rsid w:val="00802C92"/>
    <w:rsid w:val="008035C5"/>
    <w:rsid w:val="00810536"/>
    <w:rsid w:val="00815867"/>
    <w:rsid w:val="008163EC"/>
    <w:rsid w:val="0081730E"/>
    <w:rsid w:val="00817F26"/>
    <w:rsid w:val="0082105F"/>
    <w:rsid w:val="00821527"/>
    <w:rsid w:val="0082647D"/>
    <w:rsid w:val="00845691"/>
    <w:rsid w:val="00852492"/>
    <w:rsid w:val="00852F64"/>
    <w:rsid w:val="0085680B"/>
    <w:rsid w:val="00861A9E"/>
    <w:rsid w:val="00863066"/>
    <w:rsid w:val="00865339"/>
    <w:rsid w:val="00870B8E"/>
    <w:rsid w:val="008736F2"/>
    <w:rsid w:val="00875715"/>
    <w:rsid w:val="00876EE8"/>
    <w:rsid w:val="00877840"/>
    <w:rsid w:val="00885644"/>
    <w:rsid w:val="00887B85"/>
    <w:rsid w:val="00891F05"/>
    <w:rsid w:val="008929DB"/>
    <w:rsid w:val="00892FB0"/>
    <w:rsid w:val="00893061"/>
    <w:rsid w:val="00895EDC"/>
    <w:rsid w:val="008A01FD"/>
    <w:rsid w:val="008A1E33"/>
    <w:rsid w:val="008A1F6B"/>
    <w:rsid w:val="008A3610"/>
    <w:rsid w:val="008A6706"/>
    <w:rsid w:val="008B3FF7"/>
    <w:rsid w:val="008B47EA"/>
    <w:rsid w:val="008C0D06"/>
    <w:rsid w:val="008C2F05"/>
    <w:rsid w:val="008C4A8E"/>
    <w:rsid w:val="008C4BE0"/>
    <w:rsid w:val="008D0FD0"/>
    <w:rsid w:val="008D3465"/>
    <w:rsid w:val="008D3EF9"/>
    <w:rsid w:val="008D4A84"/>
    <w:rsid w:val="008D61AB"/>
    <w:rsid w:val="008F30E9"/>
    <w:rsid w:val="00904BB9"/>
    <w:rsid w:val="00905931"/>
    <w:rsid w:val="00910101"/>
    <w:rsid w:val="009134B9"/>
    <w:rsid w:val="00913E7A"/>
    <w:rsid w:val="00920978"/>
    <w:rsid w:val="00923AC5"/>
    <w:rsid w:val="00924EE5"/>
    <w:rsid w:val="00925DBF"/>
    <w:rsid w:val="00930C55"/>
    <w:rsid w:val="009345CB"/>
    <w:rsid w:val="00936C01"/>
    <w:rsid w:val="00936EB2"/>
    <w:rsid w:val="00943EBC"/>
    <w:rsid w:val="00945C34"/>
    <w:rsid w:val="0095437B"/>
    <w:rsid w:val="00954E80"/>
    <w:rsid w:val="009568E0"/>
    <w:rsid w:val="009602D7"/>
    <w:rsid w:val="00962204"/>
    <w:rsid w:val="00980567"/>
    <w:rsid w:val="00983D0A"/>
    <w:rsid w:val="00992CAB"/>
    <w:rsid w:val="009964D9"/>
    <w:rsid w:val="009A0C17"/>
    <w:rsid w:val="009A1379"/>
    <w:rsid w:val="009A7427"/>
    <w:rsid w:val="009A7DB2"/>
    <w:rsid w:val="009B454E"/>
    <w:rsid w:val="009C49D6"/>
    <w:rsid w:val="009D06B4"/>
    <w:rsid w:val="009D1387"/>
    <w:rsid w:val="009D23A9"/>
    <w:rsid w:val="009D4049"/>
    <w:rsid w:val="009D4577"/>
    <w:rsid w:val="009D5EFA"/>
    <w:rsid w:val="009D7983"/>
    <w:rsid w:val="009E1822"/>
    <w:rsid w:val="009E292F"/>
    <w:rsid w:val="009E2E89"/>
    <w:rsid w:val="009F1FC0"/>
    <w:rsid w:val="009F5AA1"/>
    <w:rsid w:val="009F5D59"/>
    <w:rsid w:val="00A00558"/>
    <w:rsid w:val="00A051C9"/>
    <w:rsid w:val="00A32259"/>
    <w:rsid w:val="00A333D4"/>
    <w:rsid w:val="00A35C06"/>
    <w:rsid w:val="00A36720"/>
    <w:rsid w:val="00A40885"/>
    <w:rsid w:val="00A4221F"/>
    <w:rsid w:val="00A43353"/>
    <w:rsid w:val="00A43ECF"/>
    <w:rsid w:val="00A45089"/>
    <w:rsid w:val="00A5326D"/>
    <w:rsid w:val="00A707D5"/>
    <w:rsid w:val="00A70867"/>
    <w:rsid w:val="00A70E44"/>
    <w:rsid w:val="00A773FE"/>
    <w:rsid w:val="00A81EE6"/>
    <w:rsid w:val="00A90D83"/>
    <w:rsid w:val="00AA2EDA"/>
    <w:rsid w:val="00AA39AB"/>
    <w:rsid w:val="00AA5728"/>
    <w:rsid w:val="00AA6D51"/>
    <w:rsid w:val="00AB207A"/>
    <w:rsid w:val="00AB4A2F"/>
    <w:rsid w:val="00AC1CE9"/>
    <w:rsid w:val="00AC4E1F"/>
    <w:rsid w:val="00AC652D"/>
    <w:rsid w:val="00AD17FD"/>
    <w:rsid w:val="00AD31C4"/>
    <w:rsid w:val="00AD32D6"/>
    <w:rsid w:val="00AD7497"/>
    <w:rsid w:val="00AE1970"/>
    <w:rsid w:val="00AE6911"/>
    <w:rsid w:val="00AF6617"/>
    <w:rsid w:val="00B019D0"/>
    <w:rsid w:val="00B028C0"/>
    <w:rsid w:val="00B044D4"/>
    <w:rsid w:val="00B0482E"/>
    <w:rsid w:val="00B05912"/>
    <w:rsid w:val="00B066C9"/>
    <w:rsid w:val="00B07864"/>
    <w:rsid w:val="00B125F6"/>
    <w:rsid w:val="00B133B8"/>
    <w:rsid w:val="00B13C22"/>
    <w:rsid w:val="00B15C8A"/>
    <w:rsid w:val="00B168BB"/>
    <w:rsid w:val="00B211A8"/>
    <w:rsid w:val="00B21200"/>
    <w:rsid w:val="00B224F3"/>
    <w:rsid w:val="00B27DAA"/>
    <w:rsid w:val="00B345C7"/>
    <w:rsid w:val="00B34B8C"/>
    <w:rsid w:val="00B36C3B"/>
    <w:rsid w:val="00B36F07"/>
    <w:rsid w:val="00B41730"/>
    <w:rsid w:val="00B42414"/>
    <w:rsid w:val="00B43D5B"/>
    <w:rsid w:val="00B45BF4"/>
    <w:rsid w:val="00B470FA"/>
    <w:rsid w:val="00B506A0"/>
    <w:rsid w:val="00B66D98"/>
    <w:rsid w:val="00B67394"/>
    <w:rsid w:val="00B70EF7"/>
    <w:rsid w:val="00B7755D"/>
    <w:rsid w:val="00B8226E"/>
    <w:rsid w:val="00B85D88"/>
    <w:rsid w:val="00B8738D"/>
    <w:rsid w:val="00B9305D"/>
    <w:rsid w:val="00B936F5"/>
    <w:rsid w:val="00B966B9"/>
    <w:rsid w:val="00BA2235"/>
    <w:rsid w:val="00BA729D"/>
    <w:rsid w:val="00BB1321"/>
    <w:rsid w:val="00BB34B1"/>
    <w:rsid w:val="00BB41DA"/>
    <w:rsid w:val="00BB4880"/>
    <w:rsid w:val="00BC6BAA"/>
    <w:rsid w:val="00BD021A"/>
    <w:rsid w:val="00BF6D81"/>
    <w:rsid w:val="00BF6EBC"/>
    <w:rsid w:val="00C0324C"/>
    <w:rsid w:val="00C04CA2"/>
    <w:rsid w:val="00C0553C"/>
    <w:rsid w:val="00C12B3A"/>
    <w:rsid w:val="00C14D75"/>
    <w:rsid w:val="00C15016"/>
    <w:rsid w:val="00C15CC2"/>
    <w:rsid w:val="00C162D1"/>
    <w:rsid w:val="00C1715E"/>
    <w:rsid w:val="00C176D6"/>
    <w:rsid w:val="00C2190A"/>
    <w:rsid w:val="00C21B33"/>
    <w:rsid w:val="00C253CD"/>
    <w:rsid w:val="00C37E4A"/>
    <w:rsid w:val="00C43500"/>
    <w:rsid w:val="00C449C0"/>
    <w:rsid w:val="00C45F81"/>
    <w:rsid w:val="00C5043B"/>
    <w:rsid w:val="00C52C6F"/>
    <w:rsid w:val="00C53155"/>
    <w:rsid w:val="00C5392C"/>
    <w:rsid w:val="00C55F1B"/>
    <w:rsid w:val="00C62CB2"/>
    <w:rsid w:val="00C63E99"/>
    <w:rsid w:val="00C652FF"/>
    <w:rsid w:val="00C65EAC"/>
    <w:rsid w:val="00C70FAF"/>
    <w:rsid w:val="00C7788C"/>
    <w:rsid w:val="00C87DE2"/>
    <w:rsid w:val="00C9037D"/>
    <w:rsid w:val="00C92DEB"/>
    <w:rsid w:val="00C9539F"/>
    <w:rsid w:val="00CA1124"/>
    <w:rsid w:val="00CA2E70"/>
    <w:rsid w:val="00CB225D"/>
    <w:rsid w:val="00CB44C0"/>
    <w:rsid w:val="00CB6660"/>
    <w:rsid w:val="00CB6E78"/>
    <w:rsid w:val="00CC43EB"/>
    <w:rsid w:val="00CC4EB7"/>
    <w:rsid w:val="00CC5343"/>
    <w:rsid w:val="00CC5E76"/>
    <w:rsid w:val="00CC70C4"/>
    <w:rsid w:val="00CD020A"/>
    <w:rsid w:val="00CD2FF4"/>
    <w:rsid w:val="00CE53D4"/>
    <w:rsid w:val="00CF2578"/>
    <w:rsid w:val="00CF3EC4"/>
    <w:rsid w:val="00D01406"/>
    <w:rsid w:val="00D027BA"/>
    <w:rsid w:val="00D06CCE"/>
    <w:rsid w:val="00D16BD0"/>
    <w:rsid w:val="00D2044E"/>
    <w:rsid w:val="00D22228"/>
    <w:rsid w:val="00D25184"/>
    <w:rsid w:val="00D355A9"/>
    <w:rsid w:val="00D3608C"/>
    <w:rsid w:val="00D403D8"/>
    <w:rsid w:val="00D46992"/>
    <w:rsid w:val="00D53A39"/>
    <w:rsid w:val="00D53F88"/>
    <w:rsid w:val="00D55971"/>
    <w:rsid w:val="00D63B7F"/>
    <w:rsid w:val="00D70CAF"/>
    <w:rsid w:val="00D74F87"/>
    <w:rsid w:val="00D82608"/>
    <w:rsid w:val="00D90C82"/>
    <w:rsid w:val="00D91784"/>
    <w:rsid w:val="00D93A8A"/>
    <w:rsid w:val="00D96CED"/>
    <w:rsid w:val="00D97CA3"/>
    <w:rsid w:val="00DA252C"/>
    <w:rsid w:val="00DC20E7"/>
    <w:rsid w:val="00DD4BC0"/>
    <w:rsid w:val="00DD58E8"/>
    <w:rsid w:val="00DE17C7"/>
    <w:rsid w:val="00DE5B55"/>
    <w:rsid w:val="00DF037D"/>
    <w:rsid w:val="00DF0A3D"/>
    <w:rsid w:val="00DF0A6E"/>
    <w:rsid w:val="00E01165"/>
    <w:rsid w:val="00E01A39"/>
    <w:rsid w:val="00E07115"/>
    <w:rsid w:val="00E11AD6"/>
    <w:rsid w:val="00E12593"/>
    <w:rsid w:val="00E13008"/>
    <w:rsid w:val="00E140A7"/>
    <w:rsid w:val="00E17ECF"/>
    <w:rsid w:val="00E20AFB"/>
    <w:rsid w:val="00E22B73"/>
    <w:rsid w:val="00E26C37"/>
    <w:rsid w:val="00E32115"/>
    <w:rsid w:val="00E36A7B"/>
    <w:rsid w:val="00E5019D"/>
    <w:rsid w:val="00E50AEB"/>
    <w:rsid w:val="00E55F04"/>
    <w:rsid w:val="00E57A0B"/>
    <w:rsid w:val="00E61BAD"/>
    <w:rsid w:val="00E6243F"/>
    <w:rsid w:val="00E63255"/>
    <w:rsid w:val="00E6579A"/>
    <w:rsid w:val="00E71C8B"/>
    <w:rsid w:val="00E80B0B"/>
    <w:rsid w:val="00E81209"/>
    <w:rsid w:val="00E903E1"/>
    <w:rsid w:val="00E94E8C"/>
    <w:rsid w:val="00E96EE0"/>
    <w:rsid w:val="00EA6399"/>
    <w:rsid w:val="00EB0704"/>
    <w:rsid w:val="00EC2582"/>
    <w:rsid w:val="00EC470E"/>
    <w:rsid w:val="00EC7760"/>
    <w:rsid w:val="00ED55CA"/>
    <w:rsid w:val="00ED5AB5"/>
    <w:rsid w:val="00ED7506"/>
    <w:rsid w:val="00EE1BD3"/>
    <w:rsid w:val="00EE2D5F"/>
    <w:rsid w:val="00EE341C"/>
    <w:rsid w:val="00EE4118"/>
    <w:rsid w:val="00EE7CF7"/>
    <w:rsid w:val="00EF5265"/>
    <w:rsid w:val="00EF6906"/>
    <w:rsid w:val="00F02994"/>
    <w:rsid w:val="00F02E06"/>
    <w:rsid w:val="00F0617B"/>
    <w:rsid w:val="00F06FF4"/>
    <w:rsid w:val="00F121DD"/>
    <w:rsid w:val="00F122ED"/>
    <w:rsid w:val="00F21A20"/>
    <w:rsid w:val="00F2219C"/>
    <w:rsid w:val="00F23832"/>
    <w:rsid w:val="00F36A80"/>
    <w:rsid w:val="00F370FB"/>
    <w:rsid w:val="00F423E1"/>
    <w:rsid w:val="00F4462B"/>
    <w:rsid w:val="00F47485"/>
    <w:rsid w:val="00F51F6B"/>
    <w:rsid w:val="00F550C1"/>
    <w:rsid w:val="00F60E5F"/>
    <w:rsid w:val="00F64FE6"/>
    <w:rsid w:val="00F67101"/>
    <w:rsid w:val="00F70AD7"/>
    <w:rsid w:val="00F75995"/>
    <w:rsid w:val="00F77E38"/>
    <w:rsid w:val="00F814E9"/>
    <w:rsid w:val="00F83FA6"/>
    <w:rsid w:val="00F84C39"/>
    <w:rsid w:val="00F90571"/>
    <w:rsid w:val="00F90D1D"/>
    <w:rsid w:val="00FA1A9C"/>
    <w:rsid w:val="00FA1CED"/>
    <w:rsid w:val="00FA6619"/>
    <w:rsid w:val="00FB48A5"/>
    <w:rsid w:val="00FD3633"/>
    <w:rsid w:val="00FD45B7"/>
    <w:rsid w:val="00FE28B8"/>
    <w:rsid w:val="00FE7927"/>
    <w:rsid w:val="00FF0A78"/>
    <w:rsid w:val="029A4625"/>
    <w:rsid w:val="047BA4ED"/>
    <w:rsid w:val="06F371A5"/>
    <w:rsid w:val="0790D001"/>
    <w:rsid w:val="07EA5C10"/>
    <w:rsid w:val="084AED27"/>
    <w:rsid w:val="087AB2B7"/>
    <w:rsid w:val="092CA062"/>
    <w:rsid w:val="0AC870C3"/>
    <w:rsid w:val="0BB44630"/>
    <w:rsid w:val="0FE6FEF8"/>
    <w:rsid w:val="1050A237"/>
    <w:rsid w:val="11EC7298"/>
    <w:rsid w:val="11F1CF6D"/>
    <w:rsid w:val="122622FD"/>
    <w:rsid w:val="1445ADB1"/>
    <w:rsid w:val="160B236A"/>
    <w:rsid w:val="1669EA46"/>
    <w:rsid w:val="16F4DA92"/>
    <w:rsid w:val="17330D97"/>
    <w:rsid w:val="1776D596"/>
    <w:rsid w:val="1A6AAE59"/>
    <w:rsid w:val="1A7EA441"/>
    <w:rsid w:val="1ACC9A9D"/>
    <w:rsid w:val="1AF0A445"/>
    <w:rsid w:val="1B987072"/>
    <w:rsid w:val="1D2F253F"/>
    <w:rsid w:val="1F7DB220"/>
    <w:rsid w:val="1FAAED0B"/>
    <w:rsid w:val="1FB205B0"/>
    <w:rsid w:val="21198281"/>
    <w:rsid w:val="218B124B"/>
    <w:rsid w:val="24E07FF4"/>
    <w:rsid w:val="255AA405"/>
    <w:rsid w:val="2614D1BA"/>
    <w:rsid w:val="27B0A21B"/>
    <w:rsid w:val="2886D2AA"/>
    <w:rsid w:val="28CE4EF7"/>
    <w:rsid w:val="28FBF18D"/>
    <w:rsid w:val="2951CF51"/>
    <w:rsid w:val="2A33828C"/>
    <w:rsid w:val="2B51EDB1"/>
    <w:rsid w:val="2E0FA2F0"/>
    <w:rsid w:val="2E254074"/>
    <w:rsid w:val="30A2C410"/>
    <w:rsid w:val="31224A3C"/>
    <w:rsid w:val="32A7C776"/>
    <w:rsid w:val="32F354C2"/>
    <w:rsid w:val="33C13C75"/>
    <w:rsid w:val="348F2523"/>
    <w:rsid w:val="3541E1A3"/>
    <w:rsid w:val="35529399"/>
    <w:rsid w:val="36C4D6A5"/>
    <w:rsid w:val="36DDB204"/>
    <w:rsid w:val="37463E37"/>
    <w:rsid w:val="39496DE9"/>
    <w:rsid w:val="396FE0A1"/>
    <w:rsid w:val="3AF288A5"/>
    <w:rsid w:val="3C1F58F2"/>
    <w:rsid w:val="3C9571AB"/>
    <w:rsid w:val="3DC861CE"/>
    <w:rsid w:val="3FF7B20F"/>
    <w:rsid w:val="4028AADD"/>
    <w:rsid w:val="421FC061"/>
    <w:rsid w:val="42616F21"/>
    <w:rsid w:val="45F30D5F"/>
    <w:rsid w:val="4608316C"/>
    <w:rsid w:val="4666F393"/>
    <w:rsid w:val="48412486"/>
    <w:rsid w:val="495ACC56"/>
    <w:rsid w:val="4B4A342F"/>
    <w:rsid w:val="4B827954"/>
    <w:rsid w:val="4BF8725C"/>
    <w:rsid w:val="4CD8D060"/>
    <w:rsid w:val="4D00984B"/>
    <w:rsid w:val="4EA0861B"/>
    <w:rsid w:val="4EBD3057"/>
    <w:rsid w:val="4EC1B67C"/>
    <w:rsid w:val="4EE06482"/>
    <w:rsid w:val="4F02A861"/>
    <w:rsid w:val="5093B5C6"/>
    <w:rsid w:val="50E8706F"/>
    <w:rsid w:val="55A0F021"/>
    <w:rsid w:val="56002100"/>
    <w:rsid w:val="56C601E2"/>
    <w:rsid w:val="576A4E8B"/>
    <w:rsid w:val="591202A0"/>
    <w:rsid w:val="5A76C2CB"/>
    <w:rsid w:val="5C802D62"/>
    <w:rsid w:val="5F44D719"/>
    <w:rsid w:val="5FE29A1C"/>
    <w:rsid w:val="61373F24"/>
    <w:rsid w:val="61C7B78A"/>
    <w:rsid w:val="623DBE84"/>
    <w:rsid w:val="63C24EC7"/>
    <w:rsid w:val="63DDDDDC"/>
    <w:rsid w:val="6420AE7F"/>
    <w:rsid w:val="6459C960"/>
    <w:rsid w:val="64F83FA7"/>
    <w:rsid w:val="65E1D4D5"/>
    <w:rsid w:val="663B9AC2"/>
    <w:rsid w:val="6903D816"/>
    <w:rsid w:val="6945880D"/>
    <w:rsid w:val="69CBB0CA"/>
    <w:rsid w:val="6DBC8FF9"/>
    <w:rsid w:val="6E9F21ED"/>
    <w:rsid w:val="757C3078"/>
    <w:rsid w:val="76A4D6FD"/>
    <w:rsid w:val="7837B63B"/>
    <w:rsid w:val="7842709D"/>
    <w:rsid w:val="78641BF7"/>
    <w:rsid w:val="7866F9AA"/>
    <w:rsid w:val="7BFF67E4"/>
    <w:rsid w:val="7C583F8B"/>
    <w:rsid w:val="7D8A3DD3"/>
    <w:rsid w:val="7E5B65A3"/>
    <w:rsid w:val="7E96C085"/>
  </w:rsids>
  <m:mathPr>
    <m:mathFont m:val="Cambria Math"/>
    <m:brkBin m:val="before"/>
    <m:brkBinSub m:val="--"/>
    <m:smallFrac m:val="0"/>
    <m:dispDef/>
    <m:lMargin m:val="0"/>
    <m:rMargin m:val="0"/>
    <m:defJc m:val="centerGroup"/>
    <m:wrapIndent m:val="1440"/>
    <m:intLim m:val="subSup"/>
    <m:naryLim m:val="undOvr"/>
  </m:mathPr>
  <w:themeFontLang w:val="en-US" w:eastAsia="ja-JP" w:bidi="b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87406A"/>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178"/>
    <w:rPr>
      <w:rFonts w:ascii="Century Gothic" w:eastAsiaTheme="minorEastAsia" w:hAnsi="Century Gothic"/>
      <w:sz w:val="18"/>
    </w:rPr>
  </w:style>
  <w:style w:type="paragraph" w:styleId="Heading1">
    <w:name w:val="heading 1"/>
    <w:basedOn w:val="Normal"/>
    <w:next w:val="Normal"/>
    <w:link w:val="Heading1Char"/>
    <w:uiPriority w:val="9"/>
    <w:qFormat/>
    <w:rsid w:val="00285DFB"/>
    <w:pPr>
      <w:keepNext/>
      <w:keepLines/>
      <w:spacing w:before="240"/>
      <w:outlineLvl w:val="0"/>
    </w:pPr>
    <w:rPr>
      <w:rFonts w:ascii="Nexa Bold" w:eastAsiaTheme="majorEastAsia" w:hAnsi="Nexa Bold"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5DFB"/>
    <w:pPr>
      <w:keepNext/>
      <w:keepLines/>
      <w:spacing w:before="160" w:after="120"/>
      <w:outlineLvl w:val="1"/>
    </w:pPr>
    <w:rPr>
      <w:rFonts w:ascii="Nexa Bold" w:eastAsiaTheme="majorEastAsia" w:hAnsi="Nexa Bold" w:cstheme="majorBidi"/>
      <w:b/>
      <w:color w:val="000000" w:themeColor="text1"/>
      <w:szCs w:val="26"/>
    </w:rPr>
  </w:style>
  <w:style w:type="paragraph" w:styleId="Heading3">
    <w:name w:val="heading 3"/>
    <w:basedOn w:val="Normal"/>
    <w:next w:val="Normal"/>
    <w:link w:val="Heading3Char"/>
    <w:uiPriority w:val="9"/>
    <w:unhideWhenUsed/>
    <w:qFormat/>
    <w:rsid w:val="00FB48A5"/>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FB48A5"/>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48A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51F6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2">
    <w:name w:val="Style2"/>
    <w:uiPriority w:val="99"/>
    <w:rsid w:val="0010159E"/>
    <w:pPr>
      <w:numPr>
        <w:numId w:val="6"/>
      </w:numPr>
    </w:pPr>
  </w:style>
  <w:style w:type="paragraph" w:styleId="Header">
    <w:name w:val="header"/>
    <w:basedOn w:val="Normal"/>
    <w:link w:val="HeaderChar"/>
    <w:uiPriority w:val="99"/>
    <w:unhideWhenUsed/>
    <w:rsid w:val="00992CAB"/>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992CAB"/>
  </w:style>
  <w:style w:type="paragraph" w:styleId="Footer">
    <w:name w:val="footer"/>
    <w:basedOn w:val="Normal"/>
    <w:link w:val="FooterChar"/>
    <w:uiPriority w:val="99"/>
    <w:unhideWhenUsed/>
    <w:rsid w:val="00992CAB"/>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992CAB"/>
  </w:style>
  <w:style w:type="table" w:customStyle="1" w:styleId="PlainTable11">
    <w:name w:val="Plain Table 11"/>
    <w:basedOn w:val="TableNormal"/>
    <w:uiPriority w:val="41"/>
    <w:rsid w:val="005D0F18"/>
    <w:rPr>
      <w:rFonts w:eastAsiaTheme="minorEastAsia"/>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semiHidden/>
    <w:unhideWhenUsed/>
    <w:rsid w:val="00A36720"/>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A36720"/>
    <w:rPr>
      <w:rFonts w:ascii="Lucida Grande" w:eastAsiaTheme="minorEastAsia" w:hAnsi="Lucida Grande" w:cs="Lucida Grande"/>
      <w:sz w:val="18"/>
      <w:szCs w:val="18"/>
    </w:rPr>
  </w:style>
  <w:style w:type="character" w:styleId="Hyperlink">
    <w:name w:val="Hyperlink"/>
    <w:basedOn w:val="DefaultParagraphFont"/>
    <w:uiPriority w:val="99"/>
    <w:unhideWhenUsed/>
    <w:rsid w:val="004A245F"/>
    <w:rPr>
      <w:color w:val="0563C1" w:themeColor="hyperlink"/>
      <w:u w:val="single"/>
    </w:rPr>
  </w:style>
  <w:style w:type="character" w:styleId="FollowedHyperlink">
    <w:name w:val="FollowedHyperlink"/>
    <w:basedOn w:val="DefaultParagraphFont"/>
    <w:uiPriority w:val="99"/>
    <w:semiHidden/>
    <w:unhideWhenUsed/>
    <w:rsid w:val="00BB1321"/>
    <w:rPr>
      <w:color w:val="954F72" w:themeColor="followedHyperlink"/>
      <w:u w:val="single"/>
    </w:rPr>
  </w:style>
  <w:style w:type="paragraph" w:customStyle="1" w:styleId="Bodycopycenter">
    <w:name w:val="Body copy center"/>
    <w:basedOn w:val="Normal"/>
    <w:uiPriority w:val="99"/>
    <w:rsid w:val="00427CA1"/>
    <w:pPr>
      <w:tabs>
        <w:tab w:val="left" w:pos="227"/>
      </w:tabs>
      <w:suppressAutoHyphens/>
      <w:autoSpaceDE w:val="0"/>
      <w:autoSpaceDN w:val="0"/>
      <w:adjustRightInd w:val="0"/>
      <w:spacing w:after="85" w:line="300" w:lineRule="atLeast"/>
      <w:jc w:val="both"/>
      <w:textAlignment w:val="center"/>
    </w:pPr>
    <w:rPr>
      <w:rFonts w:eastAsiaTheme="minorHAnsi" w:cs="Century Gothic"/>
      <w:color w:val="4A4A4A"/>
    </w:rPr>
  </w:style>
  <w:style w:type="table" w:styleId="TableGrid">
    <w:name w:val="Table Grid"/>
    <w:basedOn w:val="TableNormal"/>
    <w:uiPriority w:val="39"/>
    <w:rsid w:val="001A0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285DFB"/>
    <w:rPr>
      <w:rFonts w:ascii="Book Antiqua" w:eastAsia="Times New Roman" w:hAnsi="Book Antiqua" w:cs="Times New Roman"/>
      <w:sz w:val="20"/>
      <w:szCs w:val="20"/>
      <w:lang w:val="x-none" w:eastAsia="x-none"/>
    </w:rPr>
  </w:style>
  <w:style w:type="character" w:customStyle="1" w:styleId="FootnoteTextChar">
    <w:name w:val="Footnote Text Char"/>
    <w:basedOn w:val="DefaultParagraphFont"/>
    <w:link w:val="FootnoteText"/>
    <w:uiPriority w:val="99"/>
    <w:rsid w:val="00285DFB"/>
    <w:rPr>
      <w:rFonts w:ascii="Book Antiqua" w:eastAsia="Times New Roman" w:hAnsi="Book Antiqua" w:cs="Times New Roman"/>
      <w:sz w:val="20"/>
      <w:szCs w:val="20"/>
      <w:lang w:val="x-none" w:eastAsia="x-none"/>
    </w:rPr>
  </w:style>
  <w:style w:type="character" w:styleId="FootnoteReference">
    <w:name w:val="footnote reference"/>
    <w:semiHidden/>
    <w:rsid w:val="00285DFB"/>
    <w:rPr>
      <w:vertAlign w:val="superscript"/>
    </w:rPr>
  </w:style>
  <w:style w:type="paragraph" w:styleId="ListParagraph">
    <w:name w:val="List Paragraph"/>
    <w:basedOn w:val="Normal"/>
    <w:uiPriority w:val="34"/>
    <w:qFormat/>
    <w:rsid w:val="00285DFB"/>
    <w:pPr>
      <w:spacing w:after="200" w:line="276" w:lineRule="auto"/>
      <w:ind w:left="720"/>
    </w:pPr>
    <w:rPr>
      <w:rFonts w:ascii="Calibri" w:eastAsia="Calibri" w:hAnsi="Calibri" w:cs="Times New Roman"/>
      <w:sz w:val="22"/>
      <w:szCs w:val="22"/>
      <w:lang w:val="en-AU"/>
    </w:rPr>
  </w:style>
  <w:style w:type="character" w:customStyle="1" w:styleId="Heading1Char">
    <w:name w:val="Heading 1 Char"/>
    <w:basedOn w:val="DefaultParagraphFont"/>
    <w:link w:val="Heading1"/>
    <w:uiPriority w:val="9"/>
    <w:rsid w:val="00285DFB"/>
    <w:rPr>
      <w:rFonts w:ascii="Nexa Bold" w:eastAsiaTheme="majorEastAsia" w:hAnsi="Nexa Bold" w:cstheme="majorBidi"/>
      <w:color w:val="2F5496" w:themeColor="accent1" w:themeShade="BF"/>
      <w:sz w:val="32"/>
      <w:szCs w:val="32"/>
    </w:rPr>
  </w:style>
  <w:style w:type="character" w:customStyle="1" w:styleId="Heading2Char">
    <w:name w:val="Heading 2 Char"/>
    <w:basedOn w:val="DefaultParagraphFont"/>
    <w:link w:val="Heading2"/>
    <w:uiPriority w:val="9"/>
    <w:rsid w:val="00285DFB"/>
    <w:rPr>
      <w:rFonts w:ascii="Nexa Bold" w:eastAsiaTheme="majorEastAsia" w:hAnsi="Nexa Bold" w:cstheme="majorBidi"/>
      <w:b/>
      <w:color w:val="000000" w:themeColor="text1"/>
      <w:sz w:val="18"/>
      <w:szCs w:val="26"/>
    </w:rPr>
  </w:style>
  <w:style w:type="paragraph" w:customStyle="1" w:styleId="MajorTableText">
    <w:name w:val="Major Table Text"/>
    <w:basedOn w:val="Normal"/>
    <w:rsid w:val="00175A3A"/>
    <w:pPr>
      <w:spacing w:before="60" w:after="60"/>
    </w:pPr>
    <w:rPr>
      <w:rFonts w:ascii="Palatino" w:eastAsia="Times New Roman" w:hAnsi="Palatino" w:cs="Times New Roman"/>
      <w:szCs w:val="20"/>
    </w:rPr>
  </w:style>
  <w:style w:type="character" w:customStyle="1" w:styleId="Heading6Char">
    <w:name w:val="Heading 6 Char"/>
    <w:basedOn w:val="DefaultParagraphFont"/>
    <w:link w:val="Heading6"/>
    <w:uiPriority w:val="9"/>
    <w:semiHidden/>
    <w:rsid w:val="00151F6E"/>
    <w:rPr>
      <w:rFonts w:asciiTheme="majorHAnsi" w:eastAsiaTheme="majorEastAsia" w:hAnsiTheme="majorHAnsi" w:cstheme="majorBidi"/>
      <w:color w:val="1F3763" w:themeColor="accent1" w:themeShade="7F"/>
      <w:sz w:val="18"/>
    </w:rPr>
  </w:style>
  <w:style w:type="character" w:customStyle="1" w:styleId="Heading3Char">
    <w:name w:val="Heading 3 Char"/>
    <w:basedOn w:val="DefaultParagraphFont"/>
    <w:link w:val="Heading3"/>
    <w:uiPriority w:val="9"/>
    <w:rsid w:val="00FB48A5"/>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FB48A5"/>
    <w:rPr>
      <w:rFonts w:asciiTheme="majorHAnsi" w:eastAsiaTheme="majorEastAsia" w:hAnsiTheme="majorHAnsi" w:cstheme="majorBidi"/>
      <w:i/>
      <w:iCs/>
      <w:color w:val="2F5496" w:themeColor="accent1" w:themeShade="BF"/>
      <w:sz w:val="18"/>
    </w:rPr>
  </w:style>
  <w:style w:type="table" w:customStyle="1" w:styleId="TableGrid1">
    <w:name w:val="Table Grid1"/>
    <w:basedOn w:val="TableNormal"/>
    <w:next w:val="TableGrid"/>
    <w:uiPriority w:val="59"/>
    <w:rsid w:val="00FB48A5"/>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48A5"/>
    <w:rPr>
      <w:rFonts w:ascii="Times New Roman" w:hAnsi="Times New Roman" w:cs="Times New Roman"/>
      <w:sz w:val="24"/>
    </w:rPr>
  </w:style>
  <w:style w:type="table" w:customStyle="1" w:styleId="TableGrid2">
    <w:name w:val="Table Grid2"/>
    <w:basedOn w:val="TableNormal"/>
    <w:next w:val="TableGrid"/>
    <w:uiPriority w:val="59"/>
    <w:rsid w:val="00FB48A5"/>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B48A5"/>
    <w:rPr>
      <w:i/>
      <w:iCs/>
    </w:rPr>
  </w:style>
  <w:style w:type="table" w:customStyle="1" w:styleId="TableGrid3">
    <w:name w:val="Table Grid3"/>
    <w:basedOn w:val="TableNormal"/>
    <w:next w:val="TableGrid"/>
    <w:uiPriority w:val="59"/>
    <w:rsid w:val="00FB48A5"/>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B48A5"/>
    <w:rPr>
      <w:rFonts w:asciiTheme="majorHAnsi" w:eastAsiaTheme="majorEastAsia" w:hAnsiTheme="majorHAnsi" w:cstheme="majorBidi"/>
      <w:color w:val="2F5496" w:themeColor="accent1" w:themeShade="BF"/>
      <w:sz w:val="18"/>
    </w:rPr>
  </w:style>
  <w:style w:type="numbering" w:customStyle="1" w:styleId="NoList1">
    <w:name w:val="No List1"/>
    <w:next w:val="NoList"/>
    <w:uiPriority w:val="99"/>
    <w:semiHidden/>
    <w:unhideWhenUsed/>
    <w:rsid w:val="00FB48A5"/>
  </w:style>
  <w:style w:type="paragraph" w:styleId="BodyText">
    <w:name w:val="Body Text"/>
    <w:basedOn w:val="Normal"/>
    <w:link w:val="BodyTextChar"/>
    <w:uiPriority w:val="99"/>
    <w:rsid w:val="00FB48A5"/>
    <w:pPr>
      <w:keepNext/>
      <w:keepLines/>
      <w:spacing w:before="120" w:after="120"/>
      <w:contextualSpacing/>
    </w:pPr>
    <w:rPr>
      <w:rFonts w:ascii="Times New Roman" w:eastAsia="Times New Roman" w:hAnsi="Times New Roman" w:cs="Times New Roman"/>
      <w:sz w:val="24"/>
      <w:szCs w:val="22"/>
      <w:lang w:val="en-AU"/>
    </w:rPr>
  </w:style>
  <w:style w:type="character" w:customStyle="1" w:styleId="BodyTextChar">
    <w:name w:val="Body Text Char"/>
    <w:basedOn w:val="DefaultParagraphFont"/>
    <w:link w:val="BodyText"/>
    <w:uiPriority w:val="99"/>
    <w:rsid w:val="00FB48A5"/>
    <w:rPr>
      <w:rFonts w:ascii="Times New Roman" w:eastAsia="Times New Roman" w:hAnsi="Times New Roman" w:cs="Times New Roman"/>
      <w:szCs w:val="22"/>
      <w:lang w:val="en-AU"/>
    </w:rPr>
  </w:style>
  <w:style w:type="paragraph" w:styleId="List">
    <w:name w:val="List"/>
    <w:basedOn w:val="BodyText"/>
    <w:next w:val="BodyText"/>
    <w:rsid w:val="00FB48A5"/>
    <w:pPr>
      <w:tabs>
        <w:tab w:val="left" w:pos="340"/>
      </w:tabs>
      <w:spacing w:before="60" w:after="60"/>
      <w:ind w:left="340" w:hanging="340"/>
    </w:pPr>
  </w:style>
  <w:style w:type="paragraph" w:styleId="ListBullet">
    <w:name w:val="List Bullet"/>
    <w:basedOn w:val="List"/>
    <w:rsid w:val="00FB48A5"/>
    <w:pPr>
      <w:numPr>
        <w:numId w:val="7"/>
      </w:numPr>
      <w:tabs>
        <w:tab w:val="clear" w:pos="340"/>
      </w:tabs>
      <w:spacing w:before="40" w:after="40"/>
    </w:pPr>
  </w:style>
  <w:style w:type="character" w:customStyle="1" w:styleId="SpecialBold">
    <w:name w:val="Special Bold"/>
    <w:basedOn w:val="DefaultParagraphFont"/>
    <w:rsid w:val="00FB48A5"/>
    <w:rPr>
      <w:b/>
      <w:spacing w:val="0"/>
    </w:rPr>
  </w:style>
  <w:style w:type="paragraph" w:customStyle="1" w:styleId="SuperHeading">
    <w:name w:val="SuperHeading"/>
    <w:basedOn w:val="Normal"/>
    <w:rsid w:val="00FB48A5"/>
    <w:pPr>
      <w:keepNext/>
      <w:keepLines/>
      <w:spacing w:before="240" w:after="120"/>
      <w:outlineLvl w:val="0"/>
    </w:pPr>
    <w:rPr>
      <w:rFonts w:ascii="Times New Roman" w:eastAsia="Times New Roman" w:hAnsi="Times New Roman" w:cs="Times New Roman"/>
      <w:b/>
      <w:sz w:val="32"/>
      <w:szCs w:val="20"/>
      <w:lang w:val="en-AU"/>
    </w:rPr>
  </w:style>
  <w:style w:type="paragraph" w:customStyle="1" w:styleId="AllowPageBreak">
    <w:name w:val="AllowPageBreak"/>
    <w:rsid w:val="00FB48A5"/>
    <w:pPr>
      <w:widowControl w:val="0"/>
    </w:pPr>
    <w:rPr>
      <w:rFonts w:ascii="Times New Roman" w:eastAsia="Times New Roman" w:hAnsi="Times New Roman" w:cs="Times New Roman"/>
      <w:noProof/>
      <w:sz w:val="2"/>
      <w:szCs w:val="20"/>
      <w:lang w:val="en-AU"/>
    </w:rPr>
  </w:style>
  <w:style w:type="paragraph" w:styleId="List2">
    <w:name w:val="List 2"/>
    <w:basedOn w:val="BodyText"/>
    <w:rsid w:val="00FB48A5"/>
    <w:pPr>
      <w:tabs>
        <w:tab w:val="left" w:pos="680"/>
      </w:tabs>
      <w:spacing w:before="60" w:after="60"/>
      <w:ind w:left="680" w:hanging="340"/>
    </w:pPr>
  </w:style>
  <w:style w:type="paragraph" w:styleId="TOC1">
    <w:name w:val="toc 1"/>
    <w:basedOn w:val="Normal"/>
    <w:next w:val="Normal"/>
    <w:autoRedefine/>
    <w:uiPriority w:val="39"/>
    <w:unhideWhenUsed/>
    <w:rsid w:val="00FB48A5"/>
    <w:pPr>
      <w:spacing w:after="100"/>
    </w:pPr>
    <w:rPr>
      <w:rFonts w:ascii="Calibri" w:eastAsia="Calibri" w:hAnsi="Calibri"/>
      <w:sz w:val="22"/>
      <w:szCs w:val="22"/>
      <w:lang w:val="en-AU"/>
    </w:rPr>
  </w:style>
  <w:style w:type="paragraph" w:customStyle="1" w:styleId="Default">
    <w:name w:val="Default"/>
    <w:rsid w:val="00FB48A5"/>
    <w:pPr>
      <w:autoSpaceDE w:val="0"/>
      <w:autoSpaceDN w:val="0"/>
      <w:adjustRightInd w:val="0"/>
    </w:pPr>
    <w:rPr>
      <w:rFonts w:ascii="Gotham Black" w:eastAsia="Times New Roman" w:hAnsi="Gotham Black" w:cs="Gotham Black"/>
      <w:color w:val="000000"/>
      <w:lang w:val="en-AU" w:eastAsia="en-AU"/>
    </w:rPr>
  </w:style>
  <w:style w:type="paragraph" w:customStyle="1" w:styleId="Pa2">
    <w:name w:val="Pa2"/>
    <w:basedOn w:val="Default"/>
    <w:next w:val="Default"/>
    <w:uiPriority w:val="99"/>
    <w:rsid w:val="00FB48A5"/>
    <w:pPr>
      <w:spacing w:line="181" w:lineRule="atLeast"/>
    </w:pPr>
    <w:rPr>
      <w:rFonts w:ascii="Gotham Light" w:hAnsi="Gotham Light" w:cs="Times New Roman"/>
      <w:color w:val="auto"/>
    </w:rPr>
  </w:style>
  <w:style w:type="character" w:customStyle="1" w:styleId="A8">
    <w:name w:val="A8"/>
    <w:uiPriority w:val="99"/>
    <w:rsid w:val="00FB48A5"/>
    <w:rPr>
      <w:rFonts w:ascii="Gotham Book" w:hAnsi="Gotham Book"/>
      <w:color w:val="000000"/>
      <w:sz w:val="18"/>
      <w:u w:val="single"/>
    </w:rPr>
  </w:style>
  <w:style w:type="character" w:customStyle="1" w:styleId="A4">
    <w:name w:val="A4"/>
    <w:uiPriority w:val="99"/>
    <w:rsid w:val="00FB48A5"/>
    <w:rPr>
      <w:color w:val="000000"/>
    </w:rPr>
  </w:style>
  <w:style w:type="table" w:customStyle="1" w:styleId="TableGrid4">
    <w:name w:val="Table Grid4"/>
    <w:basedOn w:val="TableNormal"/>
    <w:next w:val="TableGrid"/>
    <w:uiPriority w:val="59"/>
    <w:rsid w:val="00FB48A5"/>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Default"/>
    <w:next w:val="Default"/>
    <w:uiPriority w:val="99"/>
    <w:rsid w:val="00FB48A5"/>
    <w:pPr>
      <w:spacing w:line="181" w:lineRule="atLeast"/>
    </w:pPr>
    <w:rPr>
      <w:rFonts w:ascii="Gotham Medium" w:hAnsi="Gotham Medium" w:cs="Times New Roman"/>
      <w:color w:val="auto"/>
    </w:rPr>
  </w:style>
  <w:style w:type="character" w:customStyle="1" w:styleId="A3">
    <w:name w:val="A3"/>
    <w:uiPriority w:val="99"/>
    <w:rsid w:val="00FB48A5"/>
    <w:rPr>
      <w:color w:val="000000"/>
      <w:sz w:val="14"/>
    </w:rPr>
  </w:style>
  <w:style w:type="character" w:styleId="CommentReference">
    <w:name w:val="annotation reference"/>
    <w:basedOn w:val="DefaultParagraphFont"/>
    <w:uiPriority w:val="99"/>
    <w:rsid w:val="00FB48A5"/>
    <w:rPr>
      <w:rFonts w:cs="Times New Roman"/>
      <w:sz w:val="16"/>
      <w:szCs w:val="16"/>
    </w:rPr>
  </w:style>
  <w:style w:type="paragraph" w:styleId="CommentText">
    <w:name w:val="annotation text"/>
    <w:basedOn w:val="Normal"/>
    <w:link w:val="CommentTextChar"/>
    <w:uiPriority w:val="99"/>
    <w:rsid w:val="00FB48A5"/>
    <w:rPr>
      <w:rFonts w:ascii="Arial" w:eastAsia="Times New Roman" w:hAnsi="Arial" w:cs="Times New Roman"/>
      <w:sz w:val="20"/>
      <w:szCs w:val="20"/>
      <w:lang w:val="en-AU" w:eastAsia="en-AU"/>
    </w:rPr>
  </w:style>
  <w:style w:type="character" w:customStyle="1" w:styleId="CommentTextChar">
    <w:name w:val="Comment Text Char"/>
    <w:basedOn w:val="DefaultParagraphFont"/>
    <w:link w:val="CommentText"/>
    <w:uiPriority w:val="99"/>
    <w:rsid w:val="00FB48A5"/>
    <w:rPr>
      <w:rFonts w:ascii="Arial" w:eastAsia="Times New Roman" w:hAnsi="Arial" w:cs="Times New Roman"/>
      <w:sz w:val="20"/>
      <w:szCs w:val="20"/>
      <w:lang w:val="en-AU" w:eastAsia="en-AU"/>
    </w:rPr>
  </w:style>
  <w:style w:type="paragraph" w:styleId="CommentSubject">
    <w:name w:val="annotation subject"/>
    <w:basedOn w:val="CommentText"/>
    <w:next w:val="CommentText"/>
    <w:link w:val="CommentSubjectChar"/>
    <w:uiPriority w:val="99"/>
    <w:semiHidden/>
    <w:rsid w:val="00FB48A5"/>
    <w:rPr>
      <w:b/>
      <w:bCs/>
    </w:rPr>
  </w:style>
  <w:style w:type="character" w:customStyle="1" w:styleId="CommentSubjectChar">
    <w:name w:val="Comment Subject Char"/>
    <w:basedOn w:val="CommentTextChar"/>
    <w:link w:val="CommentSubject"/>
    <w:uiPriority w:val="99"/>
    <w:semiHidden/>
    <w:rsid w:val="00FB48A5"/>
    <w:rPr>
      <w:rFonts w:ascii="Arial" w:eastAsia="Times New Roman" w:hAnsi="Arial" w:cs="Times New Roman"/>
      <w:b/>
      <w:bCs/>
      <w:sz w:val="20"/>
      <w:szCs w:val="20"/>
      <w:lang w:val="en-AU" w:eastAsia="en-AU"/>
    </w:rPr>
  </w:style>
  <w:style w:type="paragraph" w:customStyle="1" w:styleId="Heading21">
    <w:name w:val="Heading 21"/>
    <w:basedOn w:val="Normal"/>
    <w:rsid w:val="00FB48A5"/>
    <w:pPr>
      <w:keepLines/>
      <w:jc w:val="right"/>
    </w:pPr>
    <w:rPr>
      <w:rFonts w:ascii="Calibri" w:eastAsia="Times New Roman" w:hAnsi="Calibri" w:cs="Times New Roman"/>
      <w:sz w:val="22"/>
      <w:szCs w:val="20"/>
      <w:lang w:val="en-AU"/>
    </w:rPr>
  </w:style>
  <w:style w:type="paragraph" w:customStyle="1" w:styleId="heading2Left">
    <w:name w:val="heading 2 + Left"/>
    <w:basedOn w:val="Heading21"/>
    <w:rsid w:val="00FB48A5"/>
    <w:pPr>
      <w:jc w:val="left"/>
    </w:pPr>
  </w:style>
  <w:style w:type="paragraph" w:customStyle="1" w:styleId="heading1right">
    <w:name w:val="heading 1_right"/>
    <w:basedOn w:val="Heading1"/>
    <w:next w:val="Normal"/>
    <w:rsid w:val="00FB48A5"/>
    <w:pPr>
      <w:keepNext w:val="0"/>
      <w:tabs>
        <w:tab w:val="left" w:pos="0"/>
      </w:tabs>
      <w:spacing w:before="360"/>
      <w:ind w:left="-1210"/>
      <w:outlineLvl w:val="9"/>
    </w:pPr>
    <w:rPr>
      <w:rFonts w:ascii="Calibri" w:eastAsia="Times New Roman" w:hAnsi="Calibri" w:cs="Times New Roman"/>
      <w:b/>
      <w:bCs/>
      <w:color w:val="auto"/>
      <w:sz w:val="28"/>
      <w:szCs w:val="20"/>
      <w:lang w:val="en-AU"/>
    </w:rPr>
  </w:style>
  <w:style w:type="paragraph" w:customStyle="1" w:styleId="numberedpara">
    <w:name w:val="numbered para"/>
    <w:basedOn w:val="Normal"/>
    <w:rsid w:val="00FB48A5"/>
    <w:pPr>
      <w:keepLines/>
      <w:numPr>
        <w:numId w:val="8"/>
      </w:numPr>
    </w:pPr>
    <w:rPr>
      <w:rFonts w:ascii="Calibri" w:eastAsia="Times New Roman" w:hAnsi="Calibri" w:cs="Times New Roman"/>
      <w:sz w:val="22"/>
      <w:szCs w:val="16"/>
      <w:lang w:val="en-AU"/>
    </w:rPr>
  </w:style>
  <w:style w:type="character" w:styleId="Strong">
    <w:name w:val="Strong"/>
    <w:basedOn w:val="DefaultParagraphFont"/>
    <w:uiPriority w:val="22"/>
    <w:qFormat/>
    <w:rsid w:val="00FB48A5"/>
    <w:rPr>
      <w:b/>
      <w:bCs/>
    </w:rPr>
  </w:style>
  <w:style w:type="character" w:customStyle="1" w:styleId="sumtitle">
    <w:name w:val="sumtitle"/>
    <w:basedOn w:val="DefaultParagraphFont"/>
    <w:rsid w:val="00FB48A5"/>
  </w:style>
  <w:style w:type="paragraph" w:customStyle="1" w:styleId="partoneandtwo">
    <w:name w:val="partoneandtwo"/>
    <w:basedOn w:val="Normal"/>
    <w:rsid w:val="00FB48A5"/>
    <w:pPr>
      <w:spacing w:before="100" w:beforeAutospacing="1" w:after="100" w:afterAutospacing="1"/>
    </w:pPr>
    <w:rPr>
      <w:rFonts w:ascii="Times New Roman" w:eastAsia="Times New Roman" w:hAnsi="Times New Roman" w:cs="Times New Roman"/>
      <w:sz w:val="24"/>
      <w:lang w:val="en-AU" w:eastAsia="en-AU"/>
    </w:rPr>
  </w:style>
  <w:style w:type="character" w:customStyle="1" w:styleId="pagecontent">
    <w:name w:val="pagecontent"/>
    <w:basedOn w:val="DefaultParagraphFont"/>
    <w:rsid w:val="00FB48A5"/>
  </w:style>
  <w:style w:type="paragraph" w:customStyle="1" w:styleId="contentheading">
    <w:name w:val="contentheading"/>
    <w:basedOn w:val="Normal"/>
    <w:rsid w:val="00FB48A5"/>
    <w:pPr>
      <w:spacing w:before="100" w:beforeAutospacing="1" w:after="100" w:afterAutospacing="1"/>
    </w:pPr>
    <w:rPr>
      <w:rFonts w:ascii="Times New Roman" w:eastAsia="Times New Roman" w:hAnsi="Times New Roman" w:cs="Times New Roman"/>
      <w:sz w:val="24"/>
      <w:lang w:val="en-AU" w:eastAsia="en-AU"/>
    </w:rPr>
  </w:style>
  <w:style w:type="character" w:customStyle="1" w:styleId="cnhdr-blue">
    <w:name w:val="cnhdr-blue"/>
    <w:basedOn w:val="DefaultParagraphFont"/>
    <w:rsid w:val="00FB48A5"/>
  </w:style>
  <w:style w:type="character" w:customStyle="1" w:styleId="bodytext0">
    <w:name w:val="bodytext"/>
    <w:basedOn w:val="DefaultParagraphFont"/>
    <w:rsid w:val="00FB48A5"/>
  </w:style>
  <w:style w:type="paragraph" w:customStyle="1" w:styleId="Preformatted">
    <w:name w:val="Preformatted"/>
    <w:basedOn w:val="Normal"/>
    <w:rsid w:val="00FB48A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snapToGrid w:val="0"/>
      <w:sz w:val="20"/>
      <w:szCs w:val="20"/>
      <w:lang w:val="en-AU"/>
    </w:rPr>
  </w:style>
  <w:style w:type="character" w:customStyle="1" w:styleId="pdflink">
    <w:name w:val="pdflink"/>
    <w:basedOn w:val="DefaultParagraphFont"/>
    <w:rsid w:val="00FB48A5"/>
  </w:style>
  <w:style w:type="character" w:customStyle="1" w:styleId="klink">
    <w:name w:val="klink"/>
    <w:basedOn w:val="DefaultParagraphFont"/>
    <w:rsid w:val="00FB48A5"/>
  </w:style>
  <w:style w:type="paragraph" w:customStyle="1" w:styleId="wp-caption-text">
    <w:name w:val="wp-caption-text"/>
    <w:basedOn w:val="Normal"/>
    <w:rsid w:val="00FB48A5"/>
    <w:pPr>
      <w:spacing w:before="100" w:beforeAutospacing="1" w:after="100" w:afterAutospacing="1"/>
    </w:pPr>
    <w:rPr>
      <w:rFonts w:ascii="Times New Roman" w:eastAsia="Times New Roman" w:hAnsi="Times New Roman" w:cs="Times New Roman"/>
      <w:sz w:val="24"/>
      <w:lang w:val="en-AU" w:eastAsia="en-AU"/>
    </w:rPr>
  </w:style>
  <w:style w:type="table" w:customStyle="1" w:styleId="ColorfulShading-Accent51">
    <w:name w:val="Colorful Shading - Accent 51"/>
    <w:basedOn w:val="TableNormal"/>
    <w:next w:val="ColorfulShading-Accent5"/>
    <w:uiPriority w:val="71"/>
    <w:rsid w:val="00FB48A5"/>
    <w:rPr>
      <w:color w:val="000000"/>
      <w:sz w:val="22"/>
      <w:szCs w:val="22"/>
      <w:lang w:val="en-AU"/>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Grid-Accent51">
    <w:name w:val="Colorful Grid - Accent 51"/>
    <w:basedOn w:val="TableNormal"/>
    <w:next w:val="ColorfulGrid-Accent5"/>
    <w:uiPriority w:val="73"/>
    <w:rsid w:val="00FB48A5"/>
    <w:rPr>
      <w:color w:val="000000"/>
      <w:sz w:val="22"/>
      <w:szCs w:val="22"/>
      <w:lang w:val="en-AU"/>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11">
    <w:name w:val="Colorful Grid - Accent 11"/>
    <w:basedOn w:val="TableNormal"/>
    <w:next w:val="ColorfulGrid-Accent1"/>
    <w:uiPriority w:val="73"/>
    <w:rsid w:val="00FB48A5"/>
    <w:rPr>
      <w:color w:val="000000"/>
      <w:sz w:val="22"/>
      <w:szCs w:val="22"/>
      <w:lang w:val="en-AU"/>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BodyText1">
    <w:name w:val="Body Text1"/>
    <w:basedOn w:val="Normal"/>
    <w:rsid w:val="00FB48A5"/>
    <w:pPr>
      <w:spacing w:before="60" w:after="60"/>
    </w:pPr>
    <w:rPr>
      <w:rFonts w:ascii="Verdana" w:eastAsia="Times New Roman" w:hAnsi="Verdana" w:cs="Times New Roman"/>
      <w:color w:val="043A65"/>
      <w:sz w:val="20"/>
      <w:lang w:val="en-AU" w:eastAsia="en-AU"/>
    </w:rPr>
  </w:style>
  <w:style w:type="paragraph" w:customStyle="1" w:styleId="bullet">
    <w:name w:val="bullet"/>
    <w:basedOn w:val="Normal"/>
    <w:rsid w:val="00FB48A5"/>
    <w:pPr>
      <w:numPr>
        <w:numId w:val="10"/>
      </w:numPr>
      <w:spacing w:before="60" w:after="60"/>
    </w:pPr>
    <w:rPr>
      <w:rFonts w:ascii="Verdana" w:eastAsia="Times New Roman" w:hAnsi="Verdana" w:cs="Times New Roman"/>
      <w:color w:val="043A65"/>
      <w:sz w:val="20"/>
      <w:lang w:val="en-AU" w:eastAsia="en-AU"/>
    </w:rPr>
  </w:style>
  <w:style w:type="paragraph" w:customStyle="1" w:styleId="bodytextbold">
    <w:name w:val="body text bold"/>
    <w:basedOn w:val="BodyText1"/>
    <w:rsid w:val="00FB48A5"/>
    <w:rPr>
      <w:b/>
    </w:rPr>
  </w:style>
  <w:style w:type="paragraph" w:customStyle="1" w:styleId="bulletnumbered">
    <w:name w:val="bullet numbered"/>
    <w:basedOn w:val="bullet"/>
    <w:rsid w:val="00FB48A5"/>
    <w:pPr>
      <w:numPr>
        <w:numId w:val="9"/>
      </w:numPr>
    </w:pPr>
  </w:style>
  <w:style w:type="paragraph" w:customStyle="1" w:styleId="StylebulletnumberedItalic">
    <w:name w:val="Style bullet numbered + Italic"/>
    <w:basedOn w:val="bulletnumbered"/>
    <w:rsid w:val="00FB48A5"/>
    <w:rPr>
      <w:i/>
      <w:iCs/>
    </w:rPr>
  </w:style>
  <w:style w:type="table" w:customStyle="1" w:styleId="LightList-Accent11">
    <w:name w:val="Light List - Accent 11"/>
    <w:basedOn w:val="TableNormal"/>
    <w:uiPriority w:val="61"/>
    <w:rsid w:val="00FB48A5"/>
    <w:rPr>
      <w:sz w:val="22"/>
      <w:szCs w:val="22"/>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lines">
    <w:name w:val="lines"/>
    <w:basedOn w:val="Normal"/>
    <w:rsid w:val="00FB48A5"/>
    <w:pPr>
      <w:tabs>
        <w:tab w:val="right" w:leader="underscore" w:pos="8280"/>
      </w:tabs>
      <w:spacing w:after="240"/>
      <w:ind w:right="34"/>
    </w:pPr>
    <w:rPr>
      <w:rFonts w:ascii="Verdana" w:eastAsia="Times New Roman" w:hAnsi="Verdana" w:cs="Times New Roman"/>
      <w:color w:val="043A65"/>
      <w:sz w:val="20"/>
      <w:lang w:val="en-AU" w:eastAsia="en-AU"/>
    </w:rPr>
  </w:style>
  <w:style w:type="table" w:customStyle="1" w:styleId="LightList-Accent51">
    <w:name w:val="Light List - Accent 51"/>
    <w:basedOn w:val="TableNormal"/>
    <w:next w:val="LightList-Accent5"/>
    <w:uiPriority w:val="61"/>
    <w:rsid w:val="00FB48A5"/>
    <w:rPr>
      <w:sz w:val="22"/>
      <w:szCs w:val="22"/>
      <w:lang w:val="en-A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customStyle="1" w:styleId="graphicinsert">
    <w:name w:val="graphic insert"/>
    <w:basedOn w:val="BodyText1"/>
    <w:rsid w:val="00FB48A5"/>
    <w:pPr>
      <w:spacing w:before="360" w:after="360"/>
      <w:jc w:val="center"/>
    </w:pPr>
  </w:style>
  <w:style w:type="paragraph" w:customStyle="1" w:styleId="Tabletext">
    <w:name w:val="Table text"/>
    <w:basedOn w:val="Normal"/>
    <w:rsid w:val="00FB48A5"/>
    <w:pPr>
      <w:spacing w:before="40" w:after="40"/>
    </w:pPr>
    <w:rPr>
      <w:rFonts w:ascii="Verdana" w:eastAsia="Times New Roman" w:hAnsi="Verdana" w:cs="Times New Roman"/>
      <w:color w:val="043A65"/>
      <w:sz w:val="20"/>
      <w:szCs w:val="20"/>
    </w:rPr>
  </w:style>
  <w:style w:type="paragraph" w:styleId="z-TopofForm">
    <w:name w:val="HTML Top of Form"/>
    <w:basedOn w:val="Normal"/>
    <w:next w:val="Normal"/>
    <w:link w:val="z-TopofFormChar"/>
    <w:hidden/>
    <w:uiPriority w:val="99"/>
    <w:semiHidden/>
    <w:unhideWhenUsed/>
    <w:rsid w:val="00FB48A5"/>
    <w:pPr>
      <w:pBdr>
        <w:bottom w:val="single" w:sz="6" w:space="1" w:color="auto"/>
      </w:pBdr>
      <w:jc w:val="center"/>
    </w:pPr>
    <w:rPr>
      <w:rFonts w:ascii="Arial" w:eastAsia="Calibri" w:hAnsi="Arial" w:cs="Arial"/>
      <w:vanish/>
      <w:sz w:val="16"/>
      <w:szCs w:val="16"/>
      <w:lang w:val="en-AU"/>
    </w:rPr>
  </w:style>
  <w:style w:type="character" w:customStyle="1" w:styleId="z-TopofFormChar">
    <w:name w:val="z-Top of Form Char"/>
    <w:basedOn w:val="DefaultParagraphFont"/>
    <w:link w:val="z-TopofForm"/>
    <w:uiPriority w:val="99"/>
    <w:semiHidden/>
    <w:rsid w:val="00FB48A5"/>
    <w:rPr>
      <w:rFonts w:ascii="Arial" w:eastAsia="Calibri" w:hAnsi="Arial" w:cs="Arial"/>
      <w:vanish/>
      <w:sz w:val="16"/>
      <w:szCs w:val="16"/>
      <w:lang w:val="en-AU"/>
    </w:rPr>
  </w:style>
  <w:style w:type="paragraph" w:styleId="z-BottomofForm">
    <w:name w:val="HTML Bottom of Form"/>
    <w:basedOn w:val="Normal"/>
    <w:next w:val="Normal"/>
    <w:link w:val="z-BottomofFormChar"/>
    <w:hidden/>
    <w:uiPriority w:val="99"/>
    <w:semiHidden/>
    <w:unhideWhenUsed/>
    <w:rsid w:val="00FB48A5"/>
    <w:pPr>
      <w:pBdr>
        <w:top w:val="single" w:sz="6" w:space="1" w:color="auto"/>
      </w:pBdr>
      <w:jc w:val="center"/>
    </w:pPr>
    <w:rPr>
      <w:rFonts w:ascii="Arial" w:eastAsia="Calibri" w:hAnsi="Arial" w:cs="Arial"/>
      <w:vanish/>
      <w:sz w:val="16"/>
      <w:szCs w:val="16"/>
      <w:lang w:val="en-AU"/>
    </w:rPr>
  </w:style>
  <w:style w:type="character" w:customStyle="1" w:styleId="z-BottomofFormChar">
    <w:name w:val="z-Bottom of Form Char"/>
    <w:basedOn w:val="DefaultParagraphFont"/>
    <w:link w:val="z-BottomofForm"/>
    <w:uiPriority w:val="99"/>
    <w:semiHidden/>
    <w:rsid w:val="00FB48A5"/>
    <w:rPr>
      <w:rFonts w:ascii="Arial" w:eastAsia="Calibri" w:hAnsi="Arial" w:cs="Arial"/>
      <w:vanish/>
      <w:sz w:val="16"/>
      <w:szCs w:val="16"/>
      <w:lang w:val="en-AU"/>
    </w:rPr>
  </w:style>
  <w:style w:type="paragraph" w:customStyle="1" w:styleId="Pa10">
    <w:name w:val="Pa10"/>
    <w:basedOn w:val="Normal"/>
    <w:next w:val="Normal"/>
    <w:uiPriority w:val="99"/>
    <w:rsid w:val="00FB48A5"/>
    <w:pPr>
      <w:autoSpaceDE w:val="0"/>
      <w:autoSpaceDN w:val="0"/>
      <w:adjustRightInd w:val="0"/>
      <w:spacing w:line="201" w:lineRule="atLeast"/>
    </w:pPr>
    <w:rPr>
      <w:rFonts w:ascii="Univers" w:eastAsia="Calibri" w:hAnsi="Univers"/>
      <w:sz w:val="24"/>
      <w:lang w:val="en-AU"/>
    </w:rPr>
  </w:style>
  <w:style w:type="character" w:customStyle="1" w:styleId="sumtitle1">
    <w:name w:val="sumtitle1"/>
    <w:basedOn w:val="DefaultParagraphFont"/>
    <w:rsid w:val="00FB48A5"/>
    <w:rPr>
      <w:b/>
      <w:bCs/>
    </w:rPr>
  </w:style>
  <w:style w:type="character" w:customStyle="1" w:styleId="ft2">
    <w:name w:val="ft2"/>
    <w:basedOn w:val="DefaultParagraphFont"/>
    <w:rsid w:val="00FB48A5"/>
  </w:style>
  <w:style w:type="character" w:customStyle="1" w:styleId="ps5">
    <w:name w:val="ps5"/>
    <w:basedOn w:val="DefaultParagraphFont"/>
    <w:rsid w:val="00FB48A5"/>
  </w:style>
  <w:style w:type="character" w:customStyle="1" w:styleId="ps6">
    <w:name w:val="ps6"/>
    <w:basedOn w:val="DefaultParagraphFont"/>
    <w:rsid w:val="00FB48A5"/>
  </w:style>
  <w:style w:type="character" w:customStyle="1" w:styleId="ps7">
    <w:name w:val="ps7"/>
    <w:basedOn w:val="DefaultParagraphFont"/>
    <w:rsid w:val="00FB48A5"/>
  </w:style>
  <w:style w:type="character" w:customStyle="1" w:styleId="ps8">
    <w:name w:val="ps8"/>
    <w:basedOn w:val="DefaultParagraphFont"/>
    <w:rsid w:val="00FB48A5"/>
  </w:style>
  <w:style w:type="character" w:customStyle="1" w:styleId="ps9">
    <w:name w:val="ps9"/>
    <w:basedOn w:val="DefaultParagraphFont"/>
    <w:rsid w:val="00FB48A5"/>
  </w:style>
  <w:style w:type="character" w:customStyle="1" w:styleId="ps10">
    <w:name w:val="ps10"/>
    <w:basedOn w:val="DefaultParagraphFont"/>
    <w:rsid w:val="00FB48A5"/>
  </w:style>
  <w:style w:type="character" w:customStyle="1" w:styleId="ps11">
    <w:name w:val="ps11"/>
    <w:basedOn w:val="DefaultParagraphFont"/>
    <w:rsid w:val="00FB48A5"/>
  </w:style>
  <w:style w:type="table" w:customStyle="1" w:styleId="ColorfulShading-Accent11">
    <w:name w:val="Colorful Shading - Accent 11"/>
    <w:basedOn w:val="TableNormal"/>
    <w:next w:val="ColorfulShading-Accent1"/>
    <w:uiPriority w:val="71"/>
    <w:rsid w:val="00FB48A5"/>
    <w:rPr>
      <w:color w:val="000000"/>
      <w:sz w:val="22"/>
      <w:szCs w:val="22"/>
      <w:lang w:val="en-AU"/>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character" w:customStyle="1" w:styleId="bold">
    <w:name w:val="bold"/>
    <w:basedOn w:val="DefaultParagraphFont"/>
    <w:rsid w:val="00FB48A5"/>
  </w:style>
  <w:style w:type="character" w:styleId="HTMLAcronym">
    <w:name w:val="HTML Acronym"/>
    <w:basedOn w:val="DefaultParagraphFont"/>
    <w:uiPriority w:val="99"/>
    <w:semiHidden/>
    <w:unhideWhenUsed/>
    <w:rsid w:val="00FB48A5"/>
  </w:style>
  <w:style w:type="paragraph" w:styleId="BodyText2">
    <w:name w:val="Body Text 2"/>
    <w:basedOn w:val="Normal"/>
    <w:link w:val="BodyText2Char"/>
    <w:uiPriority w:val="99"/>
    <w:semiHidden/>
    <w:unhideWhenUsed/>
    <w:rsid w:val="00FB48A5"/>
    <w:pPr>
      <w:spacing w:after="120" w:line="480" w:lineRule="auto"/>
    </w:pPr>
    <w:rPr>
      <w:rFonts w:ascii="Calibri" w:eastAsia="Calibri" w:hAnsi="Calibri"/>
      <w:sz w:val="22"/>
      <w:szCs w:val="22"/>
      <w:lang w:val="en-AU"/>
    </w:rPr>
  </w:style>
  <w:style w:type="character" w:customStyle="1" w:styleId="BodyText2Char">
    <w:name w:val="Body Text 2 Char"/>
    <w:basedOn w:val="DefaultParagraphFont"/>
    <w:link w:val="BodyText2"/>
    <w:uiPriority w:val="99"/>
    <w:semiHidden/>
    <w:rsid w:val="00FB48A5"/>
    <w:rPr>
      <w:rFonts w:ascii="Calibri" w:eastAsia="Calibri" w:hAnsi="Calibri"/>
      <w:sz w:val="22"/>
      <w:szCs w:val="22"/>
      <w:lang w:val="en-AU"/>
    </w:rPr>
  </w:style>
  <w:style w:type="paragraph" w:styleId="BodyText3">
    <w:name w:val="Body Text 3"/>
    <w:basedOn w:val="Normal"/>
    <w:link w:val="BodyText3Char"/>
    <w:uiPriority w:val="99"/>
    <w:semiHidden/>
    <w:unhideWhenUsed/>
    <w:rsid w:val="00FB48A5"/>
    <w:pPr>
      <w:spacing w:after="120" w:line="276" w:lineRule="auto"/>
    </w:pPr>
    <w:rPr>
      <w:rFonts w:ascii="Calibri" w:eastAsia="Calibri" w:hAnsi="Calibri"/>
      <w:sz w:val="16"/>
      <w:szCs w:val="16"/>
      <w:lang w:val="en-AU"/>
    </w:rPr>
  </w:style>
  <w:style w:type="character" w:customStyle="1" w:styleId="BodyText3Char">
    <w:name w:val="Body Text 3 Char"/>
    <w:basedOn w:val="DefaultParagraphFont"/>
    <w:link w:val="BodyText3"/>
    <w:uiPriority w:val="99"/>
    <w:semiHidden/>
    <w:rsid w:val="00FB48A5"/>
    <w:rPr>
      <w:rFonts w:ascii="Calibri" w:eastAsia="Calibri" w:hAnsi="Calibri"/>
      <w:sz w:val="16"/>
      <w:szCs w:val="16"/>
      <w:lang w:val="en-AU"/>
    </w:rPr>
  </w:style>
  <w:style w:type="character" w:customStyle="1" w:styleId="boldfont">
    <w:name w:val="boldfont"/>
    <w:basedOn w:val="DefaultParagraphFont"/>
    <w:rsid w:val="00FB48A5"/>
  </w:style>
  <w:style w:type="character" w:customStyle="1" w:styleId="highlight">
    <w:name w:val="highlight"/>
    <w:basedOn w:val="DefaultParagraphFont"/>
    <w:rsid w:val="00FB48A5"/>
  </w:style>
  <w:style w:type="paragraph" w:customStyle="1" w:styleId="boldfont1">
    <w:name w:val="boldfont1"/>
    <w:basedOn w:val="Normal"/>
    <w:rsid w:val="00FB48A5"/>
    <w:pPr>
      <w:spacing w:before="100" w:beforeAutospacing="1" w:after="100" w:afterAutospacing="1"/>
    </w:pPr>
    <w:rPr>
      <w:rFonts w:ascii="Times New Roman" w:eastAsia="Times New Roman" w:hAnsi="Times New Roman" w:cs="Times New Roman"/>
      <w:sz w:val="24"/>
      <w:lang w:val="en-AU" w:eastAsia="en-AU"/>
    </w:rPr>
  </w:style>
  <w:style w:type="character" w:customStyle="1" w:styleId="level2">
    <w:name w:val="level2"/>
    <w:basedOn w:val="DefaultParagraphFont"/>
    <w:rsid w:val="00FB48A5"/>
  </w:style>
  <w:style w:type="paragraph" w:customStyle="1" w:styleId="examplebox">
    <w:name w:val="examplebox"/>
    <w:basedOn w:val="Normal"/>
    <w:rsid w:val="00FB48A5"/>
    <w:pPr>
      <w:spacing w:before="100" w:beforeAutospacing="1" w:after="100" w:afterAutospacing="1"/>
    </w:pPr>
    <w:rPr>
      <w:rFonts w:ascii="Times New Roman" w:eastAsia="Times New Roman" w:hAnsi="Times New Roman" w:cs="Times New Roman"/>
      <w:sz w:val="24"/>
      <w:lang w:val="en-AU" w:eastAsia="en-AU"/>
    </w:rPr>
  </w:style>
  <w:style w:type="character" w:customStyle="1" w:styleId="UnresolvedMention1">
    <w:name w:val="Unresolved Mention1"/>
    <w:basedOn w:val="DefaultParagraphFont"/>
    <w:uiPriority w:val="99"/>
    <w:semiHidden/>
    <w:unhideWhenUsed/>
    <w:rsid w:val="00FB48A5"/>
    <w:rPr>
      <w:color w:val="808080"/>
      <w:shd w:val="clear" w:color="auto" w:fill="E6E6E6"/>
    </w:rPr>
  </w:style>
  <w:style w:type="paragraph" w:customStyle="1" w:styleId="cb-split">
    <w:name w:val="cb-split"/>
    <w:basedOn w:val="Normal"/>
    <w:rsid w:val="00FB48A5"/>
    <w:pPr>
      <w:spacing w:before="100" w:beforeAutospacing="1" w:after="100" w:afterAutospacing="1"/>
    </w:pPr>
    <w:rPr>
      <w:rFonts w:ascii="Times New Roman" w:eastAsia="Times New Roman" w:hAnsi="Times New Roman" w:cs="Times New Roman"/>
      <w:sz w:val="24"/>
      <w:lang w:val="en-AU" w:eastAsia="en-AU"/>
    </w:rPr>
  </w:style>
  <w:style w:type="character" w:styleId="HTMLCite">
    <w:name w:val="HTML Cite"/>
    <w:basedOn w:val="DefaultParagraphFont"/>
    <w:uiPriority w:val="99"/>
    <w:semiHidden/>
    <w:unhideWhenUsed/>
    <w:rsid w:val="00FB48A5"/>
    <w:rPr>
      <w:i/>
      <w:iCs/>
    </w:rPr>
  </w:style>
  <w:style w:type="paragraph" w:customStyle="1" w:styleId="highlighted">
    <w:name w:val="highlighted"/>
    <w:basedOn w:val="Normal"/>
    <w:rsid w:val="00FB48A5"/>
    <w:pPr>
      <w:spacing w:before="100" w:beforeAutospacing="1" w:after="100" w:afterAutospacing="1"/>
    </w:pPr>
    <w:rPr>
      <w:rFonts w:ascii="Times New Roman" w:eastAsia="Times New Roman" w:hAnsi="Times New Roman" w:cs="Times New Roman"/>
      <w:sz w:val="24"/>
      <w:lang w:val="en-AU" w:eastAsia="en-AU"/>
    </w:rPr>
  </w:style>
  <w:style w:type="paragraph" w:customStyle="1" w:styleId="entry-meta">
    <w:name w:val="entry-meta"/>
    <w:basedOn w:val="Normal"/>
    <w:rsid w:val="00FB48A5"/>
    <w:pPr>
      <w:spacing w:before="100" w:beforeAutospacing="1" w:after="100" w:afterAutospacing="1"/>
    </w:pPr>
    <w:rPr>
      <w:rFonts w:ascii="Times New Roman" w:eastAsia="Times New Roman" w:hAnsi="Times New Roman" w:cs="Times New Roman"/>
      <w:sz w:val="24"/>
      <w:lang w:val="en-AU" w:eastAsia="en-AU"/>
    </w:rPr>
  </w:style>
  <w:style w:type="character" w:customStyle="1" w:styleId="entry-author">
    <w:name w:val="entry-author"/>
    <w:basedOn w:val="DefaultParagraphFont"/>
    <w:rsid w:val="00FB48A5"/>
  </w:style>
  <w:style w:type="character" w:customStyle="1" w:styleId="entry-author-name">
    <w:name w:val="entry-author-name"/>
    <w:basedOn w:val="DefaultParagraphFont"/>
    <w:rsid w:val="00FB48A5"/>
  </w:style>
  <w:style w:type="table" w:styleId="ColorfulShading-Accent5">
    <w:name w:val="Colorful Shading Accent 5"/>
    <w:basedOn w:val="TableNormal"/>
    <w:uiPriority w:val="71"/>
    <w:semiHidden/>
    <w:unhideWhenUsed/>
    <w:rsid w:val="00FB48A5"/>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Grid-Accent5">
    <w:name w:val="Colorful Grid Accent 5"/>
    <w:basedOn w:val="TableNormal"/>
    <w:uiPriority w:val="73"/>
    <w:semiHidden/>
    <w:unhideWhenUsed/>
    <w:rsid w:val="00FB48A5"/>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1">
    <w:name w:val="Colorful Grid Accent 1"/>
    <w:basedOn w:val="TableNormal"/>
    <w:uiPriority w:val="73"/>
    <w:semiHidden/>
    <w:unhideWhenUsed/>
    <w:rsid w:val="00FB48A5"/>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LightList-Accent5">
    <w:name w:val="Light List Accent 5"/>
    <w:basedOn w:val="TableNormal"/>
    <w:uiPriority w:val="61"/>
    <w:semiHidden/>
    <w:unhideWhenUsed/>
    <w:rsid w:val="00FB48A5"/>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ColorfulShading-Accent1">
    <w:name w:val="Colorful Shading Accent 1"/>
    <w:basedOn w:val="TableNormal"/>
    <w:uiPriority w:val="71"/>
    <w:semiHidden/>
    <w:unhideWhenUsed/>
    <w:rsid w:val="00FB48A5"/>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customStyle="1" w:styleId="TableGrid5">
    <w:name w:val="Table Grid5"/>
    <w:basedOn w:val="TableNormal"/>
    <w:next w:val="TableGrid"/>
    <w:uiPriority w:val="59"/>
    <w:rsid w:val="00CF2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VTbodytext">
    <w:name w:val="NVT body text"/>
    <w:basedOn w:val="Normal"/>
    <w:uiPriority w:val="1"/>
    <w:qFormat/>
    <w:rsid w:val="122622FD"/>
    <w:pPr>
      <w:spacing w:before="120" w:after="160" w:line="240" w:lineRule="atLeast"/>
    </w:pPr>
    <w:rPr>
      <w:rFonts w:ascii="Verdana" w:eastAsia="Times New Roman" w:hAnsi="Verdana" w:cs="Times New Roman"/>
      <w:lang w:val="en-AU" w:eastAsia="en-AU"/>
    </w:rPr>
  </w:style>
  <w:style w:type="paragraph" w:styleId="TOC2">
    <w:name w:val="toc 2"/>
    <w:basedOn w:val="Normal"/>
    <w:next w:val="Normal"/>
    <w:autoRedefine/>
    <w:uiPriority w:val="39"/>
    <w:unhideWhenUsed/>
    <w:rsid w:val="009E2E89"/>
    <w:pPr>
      <w:spacing w:after="100"/>
      <w:ind w:left="180"/>
    </w:pPr>
  </w:style>
  <w:style w:type="paragraph" w:styleId="TOC3">
    <w:name w:val="toc 3"/>
    <w:basedOn w:val="Normal"/>
    <w:next w:val="Normal"/>
    <w:autoRedefine/>
    <w:uiPriority w:val="39"/>
    <w:unhideWhenUsed/>
    <w:rsid w:val="009E2E89"/>
    <w:pPr>
      <w:spacing w:after="100"/>
      <w:ind w:left="360"/>
    </w:pPr>
  </w:style>
  <w:style w:type="paragraph" w:styleId="Revision">
    <w:name w:val="Revision"/>
    <w:hidden/>
    <w:uiPriority w:val="99"/>
    <w:semiHidden/>
    <w:rsid w:val="00733C79"/>
    <w:rPr>
      <w:rFonts w:ascii="Century Gothic" w:eastAsiaTheme="minorEastAsia" w:hAnsi="Century Gothic"/>
      <w:sz w:val="18"/>
    </w:rPr>
  </w:style>
  <w:style w:type="character" w:styleId="UnresolvedMention">
    <w:name w:val="Unresolved Mention"/>
    <w:basedOn w:val="DefaultParagraphFont"/>
    <w:uiPriority w:val="99"/>
    <w:semiHidden/>
    <w:unhideWhenUsed/>
    <w:rsid w:val="00041AF2"/>
    <w:rPr>
      <w:color w:val="605E5C"/>
      <w:shd w:val="clear" w:color="auto" w:fill="E1DFDD"/>
    </w:rPr>
  </w:style>
  <w:style w:type="paragraph" w:styleId="TOCHeading">
    <w:name w:val="TOC Heading"/>
    <w:basedOn w:val="Heading1"/>
    <w:next w:val="Normal"/>
    <w:uiPriority w:val="39"/>
    <w:unhideWhenUsed/>
    <w:qFormat/>
    <w:rsid w:val="00E57A0B"/>
    <w:pPr>
      <w:spacing w:line="259" w:lineRule="auto"/>
      <w:outlineLvl w:val="9"/>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892979">
      <w:bodyDiv w:val="1"/>
      <w:marLeft w:val="0"/>
      <w:marRight w:val="0"/>
      <w:marTop w:val="0"/>
      <w:marBottom w:val="0"/>
      <w:divBdr>
        <w:top w:val="none" w:sz="0" w:space="0" w:color="auto"/>
        <w:left w:val="none" w:sz="0" w:space="0" w:color="auto"/>
        <w:bottom w:val="none" w:sz="0" w:space="0" w:color="auto"/>
        <w:right w:val="none" w:sz="0" w:space="0" w:color="auto"/>
      </w:divBdr>
    </w:div>
    <w:div w:id="2085955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lbrightinstitute.edu.au/forms-and-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albrightinstitute.edu.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8611ec-2cb6-4761-8bcf-9ab19d1ac88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F30D3E8A380940AD661F17FFCBDD9E" ma:contentTypeVersion="10" ma:contentTypeDescription="Create a new document." ma:contentTypeScope="" ma:versionID="340ad967e74000532e402383a7b27528">
  <xsd:schema xmlns:xsd="http://www.w3.org/2001/XMLSchema" xmlns:xs="http://www.w3.org/2001/XMLSchema" xmlns:p="http://schemas.microsoft.com/office/2006/metadata/properties" xmlns:ns3="6c8611ec-2cb6-4761-8bcf-9ab19d1ac884" targetNamespace="http://schemas.microsoft.com/office/2006/metadata/properties" ma:root="true" ma:fieldsID="a2f82d508ce802cfcf0f4078cbfe2294" ns3:_="">
    <xsd:import namespace="6c8611ec-2cb6-4761-8bcf-9ab19d1ac884"/>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8611ec-2cb6-4761-8bcf-9ab19d1ac88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C05F6F-7407-41EB-85BF-D231EB8F0412}">
  <ds:schemaRefs>
    <ds:schemaRef ds:uri="http://schemas.microsoft.com/office/2006/metadata/properties"/>
    <ds:schemaRef ds:uri="http://schemas.microsoft.com/office/infopath/2007/PartnerControls"/>
    <ds:schemaRef ds:uri="6c8611ec-2cb6-4761-8bcf-9ab19d1ac884"/>
  </ds:schemaRefs>
</ds:datastoreItem>
</file>

<file path=customXml/itemProps2.xml><?xml version="1.0" encoding="utf-8"?>
<ds:datastoreItem xmlns:ds="http://schemas.openxmlformats.org/officeDocument/2006/customXml" ds:itemID="{1BC77F2C-6F72-4E30-B4CC-953D06739174}">
  <ds:schemaRefs>
    <ds:schemaRef ds:uri="http://schemas.openxmlformats.org/officeDocument/2006/bibliography"/>
  </ds:schemaRefs>
</ds:datastoreItem>
</file>

<file path=customXml/itemProps3.xml><?xml version="1.0" encoding="utf-8"?>
<ds:datastoreItem xmlns:ds="http://schemas.openxmlformats.org/officeDocument/2006/customXml" ds:itemID="{FC4F3E97-529B-4E9F-8863-0755F76E0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8611ec-2cb6-4761-8bcf-9ab19d1ac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8852AC-2831-4B96-9B44-A0FCA90F81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4542</Words>
  <Characters>25894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Albright;tiffany.lynch@albrightinstitute.edu.au</dc:creator>
  <cp:keywords/>
  <dc:description/>
  <cp:lastModifiedBy>Ugin K C</cp:lastModifiedBy>
  <cp:revision>5</cp:revision>
  <cp:lastPrinted>2025-09-22T04:01:00Z</cp:lastPrinted>
  <dcterms:created xsi:type="dcterms:W3CDTF">2025-09-22T04:01:00Z</dcterms:created>
  <dcterms:modified xsi:type="dcterms:W3CDTF">2025-09-22T05:55:00Z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0x0101006AF30D3E8A380940AD661F17FFCBDD9E</vt:lpwstr>
  </property>
  <property fmtid="{D5CDD505-2E9C-101B-9397-08002B2CF9AE}" pid="3" name="Order">
    <vt:r8>1015700</vt:r8>
  </property>
  <property fmtid="{D5CDD505-2E9C-101B-9397-08002B2CF9AE}" pid="4" name="MediaServiceImageTags">
    <vt:lpwstr/>
  </property>
</Properties>
</file>